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B13D4" w14:textId="0E2BD6D6" w:rsidR="00047063" w:rsidRDefault="00D90E30">
      <w:pPr>
        <w:widowControl w:val="0"/>
        <w:autoSpaceDE w:val="0"/>
        <w:autoSpaceDN w:val="0"/>
        <w:adjustRightInd w:val="0"/>
        <w:spacing w:after="0" w:line="240" w:lineRule="auto"/>
        <w:ind w:right="3060"/>
        <w:rPr>
          <w:rFonts w:ascii="ArialMT" w:hAnsi="ArialMT" w:cs="ArialMT"/>
          <w:b/>
          <w:bCs/>
          <w:sz w:val="24"/>
          <w:szCs w:val="24"/>
        </w:rPr>
      </w:pPr>
      <w:r>
        <w:rPr>
          <w:noProof/>
          <w:lang w:val="en-US" w:eastAsia="ja-JP"/>
        </w:rPr>
        <w:drawing>
          <wp:inline distT="0" distB="0" distL="0" distR="0" wp14:anchorId="42DD7BA6" wp14:editId="45DD7A14">
            <wp:extent cx="3116580" cy="5867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16580" cy="586740"/>
                    </a:xfrm>
                    <a:prstGeom prst="rect">
                      <a:avLst/>
                    </a:prstGeom>
                  </pic:spPr>
                </pic:pic>
              </a:graphicData>
            </a:graphic>
          </wp:inline>
        </w:drawing>
      </w:r>
    </w:p>
    <w:p w14:paraId="02E46976" w14:textId="77777777" w:rsidR="00DE5FA1" w:rsidRDefault="00DE5FA1" w:rsidP="00DE5FA1">
      <w:pPr>
        <w:widowControl w:val="0"/>
        <w:autoSpaceDE w:val="0"/>
        <w:autoSpaceDN w:val="0"/>
        <w:adjustRightInd w:val="0"/>
        <w:spacing w:after="0" w:line="240" w:lineRule="auto"/>
        <w:ind w:right="3060"/>
        <w:rPr>
          <w:rFonts w:ascii="Arial" w:hAnsi="Arial" w:cs="Arial"/>
          <w:b/>
          <w:bCs/>
          <w:sz w:val="24"/>
          <w:szCs w:val="24"/>
          <w:lang w:val="fr-FR"/>
        </w:rPr>
      </w:pPr>
    </w:p>
    <w:p w14:paraId="0FAE8540" w14:textId="77777777" w:rsidR="00DE5FA1" w:rsidRPr="00E83EA7" w:rsidRDefault="00DE5FA1" w:rsidP="00DE5FA1">
      <w:pPr>
        <w:widowControl w:val="0"/>
        <w:autoSpaceDE w:val="0"/>
        <w:autoSpaceDN w:val="0"/>
        <w:adjustRightInd w:val="0"/>
        <w:spacing w:after="0" w:line="240" w:lineRule="auto"/>
        <w:ind w:left="1560" w:right="1700"/>
        <w:jc w:val="center"/>
        <w:rPr>
          <w:rFonts w:ascii="Arial" w:hAnsi="Arial" w:cs="Arial"/>
          <w:b/>
          <w:bCs/>
          <w:sz w:val="40"/>
          <w:szCs w:val="40"/>
          <w:lang w:val="fr-FR"/>
        </w:rPr>
      </w:pPr>
      <w:r w:rsidRPr="00E83EA7">
        <w:rPr>
          <w:rFonts w:ascii="Arial" w:hAnsi="Arial" w:cs="Arial"/>
          <w:b/>
          <w:bCs/>
          <w:sz w:val="40"/>
          <w:szCs w:val="40"/>
          <w:lang w:val="fr-FR"/>
        </w:rPr>
        <w:t xml:space="preserve"> </w:t>
      </w:r>
      <w:r w:rsidRPr="00E83EA7">
        <w:rPr>
          <w:rFonts w:ascii="Arial" w:hAnsi="Arial" w:cs="Arial"/>
          <w:b/>
          <w:sz w:val="40"/>
          <w:szCs w:val="40"/>
          <w:lang w:val="fr-FR"/>
        </w:rPr>
        <w:t>Formulaire d'inscription</w:t>
      </w:r>
    </w:p>
    <w:p w14:paraId="353A9044" w14:textId="77777777" w:rsidR="00DE5FA1" w:rsidRDefault="00DE5FA1" w:rsidP="00DE5FA1">
      <w:pPr>
        <w:widowControl w:val="0"/>
        <w:autoSpaceDE w:val="0"/>
        <w:autoSpaceDN w:val="0"/>
        <w:adjustRightInd w:val="0"/>
        <w:spacing w:after="0" w:line="240" w:lineRule="auto"/>
        <w:jc w:val="both"/>
        <w:rPr>
          <w:rFonts w:ascii="Arial" w:hAnsi="Arial" w:cs="Arial"/>
          <w:sz w:val="24"/>
          <w:szCs w:val="24"/>
          <w:lang w:val="fr-FR"/>
        </w:rPr>
      </w:pPr>
    </w:p>
    <w:p w14:paraId="22BD4B09" w14:textId="77777777" w:rsidR="00DE5FA1" w:rsidRDefault="00DE5FA1" w:rsidP="00DE5FA1">
      <w:pPr>
        <w:widowControl w:val="0"/>
        <w:autoSpaceDE w:val="0"/>
        <w:autoSpaceDN w:val="0"/>
        <w:adjustRightInd w:val="0"/>
        <w:spacing w:after="0" w:line="240" w:lineRule="auto"/>
        <w:jc w:val="both"/>
        <w:rPr>
          <w:rFonts w:ascii="Arial" w:hAnsi="Arial" w:cs="Arial"/>
          <w:sz w:val="24"/>
          <w:szCs w:val="24"/>
          <w:lang w:val="fr-FR"/>
        </w:rPr>
      </w:pPr>
    </w:p>
    <w:p w14:paraId="52F452F0" w14:textId="77777777" w:rsidR="00DE5FA1" w:rsidRDefault="00DE5FA1" w:rsidP="00DE5FA1">
      <w:pPr>
        <w:widowControl w:val="0"/>
        <w:autoSpaceDE w:val="0"/>
        <w:autoSpaceDN w:val="0"/>
        <w:adjustRightInd w:val="0"/>
        <w:spacing w:after="0" w:line="240" w:lineRule="auto"/>
        <w:jc w:val="both"/>
        <w:rPr>
          <w:rFonts w:ascii="Arial" w:hAnsi="Arial" w:cs="Arial"/>
          <w:sz w:val="24"/>
          <w:szCs w:val="24"/>
          <w:lang w:val="fr-FR"/>
        </w:rPr>
      </w:pPr>
    </w:p>
    <w:p w14:paraId="6F2B01CC" w14:textId="77777777" w:rsidR="00DE5FA1" w:rsidRDefault="00DE5FA1" w:rsidP="00DE5FA1">
      <w:pPr>
        <w:widowControl w:val="0"/>
        <w:autoSpaceDE w:val="0"/>
        <w:autoSpaceDN w:val="0"/>
        <w:adjustRightInd w:val="0"/>
        <w:spacing w:after="0" w:line="240" w:lineRule="auto"/>
        <w:jc w:val="center"/>
        <w:rPr>
          <w:rFonts w:ascii="Arial" w:hAnsi="Arial" w:cs="Arial"/>
          <w:sz w:val="24"/>
          <w:szCs w:val="24"/>
          <w:lang w:val="fr-FR"/>
        </w:rPr>
      </w:pPr>
    </w:p>
    <w:tbl>
      <w:tblPr>
        <w:tblpPr w:leftFromText="141" w:rightFromText="141" w:vertAnchor="text" w:horzAnchor="page" w:tblpXSpec="center" w:tblpY="-186"/>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4092"/>
      </w:tblGrid>
      <w:tr w:rsidR="00DE5FA1" w14:paraId="0DD2160A" w14:textId="77777777" w:rsidTr="004944F3">
        <w:trPr>
          <w:trHeight w:val="621"/>
        </w:trPr>
        <w:tc>
          <w:tcPr>
            <w:tcW w:w="4092" w:type="dxa"/>
            <w:tcBorders>
              <w:top w:val="single" w:sz="4" w:space="0" w:color="BFBFBF"/>
              <w:bottom w:val="single" w:sz="4" w:space="0" w:color="BFBFBF"/>
            </w:tcBorders>
            <w:shd w:val="clear" w:color="auto" w:fill="FF99FF"/>
            <w:tcMar>
              <w:top w:w="100" w:type="nil"/>
              <w:right w:w="100" w:type="nil"/>
            </w:tcMar>
          </w:tcPr>
          <w:p w14:paraId="5FF0D922" w14:textId="77777777" w:rsidR="00DE5FA1" w:rsidRDefault="00DE5FA1" w:rsidP="00DE5FA1">
            <w:pPr>
              <w:widowControl w:val="0"/>
              <w:autoSpaceDE w:val="0"/>
              <w:autoSpaceDN w:val="0"/>
              <w:adjustRightInd w:val="0"/>
              <w:spacing w:after="0" w:line="240" w:lineRule="auto"/>
              <w:ind w:left="355"/>
              <w:jc w:val="center"/>
              <w:rPr>
                <w:rFonts w:ascii="Arial" w:hAnsi="Arial" w:cs="Arial"/>
                <w:b/>
                <w:bCs/>
                <w:sz w:val="24"/>
                <w:szCs w:val="24"/>
                <w:lang w:val="fr-FR"/>
              </w:rPr>
            </w:pPr>
          </w:p>
          <w:p w14:paraId="35C6C817" w14:textId="4B6A3247" w:rsidR="00DE5FA1" w:rsidRDefault="000D4DA0" w:rsidP="00DE5FA1">
            <w:pPr>
              <w:widowControl w:val="0"/>
              <w:autoSpaceDE w:val="0"/>
              <w:autoSpaceDN w:val="0"/>
              <w:adjustRightInd w:val="0"/>
              <w:spacing w:after="0" w:line="240" w:lineRule="auto"/>
              <w:ind w:left="355"/>
              <w:jc w:val="center"/>
              <w:rPr>
                <w:rFonts w:ascii="Arial" w:hAnsi="Arial" w:cs="Arial"/>
                <w:b/>
                <w:bCs/>
                <w:sz w:val="24"/>
                <w:szCs w:val="24"/>
                <w:lang w:val="fr-FR"/>
              </w:rPr>
            </w:pPr>
            <w:r>
              <w:rPr>
                <w:rFonts w:ascii="Arial" w:hAnsi="Arial" w:cs="Arial"/>
                <w:b/>
                <w:bCs/>
                <w:sz w:val="24"/>
                <w:szCs w:val="24"/>
                <w:lang w:val="fr-FR"/>
              </w:rPr>
              <w:t>A renvoyer à la SO</w:t>
            </w:r>
            <w:r w:rsidR="00DE5FA1">
              <w:rPr>
                <w:rFonts w:ascii="Arial" w:hAnsi="Arial" w:cs="Arial"/>
                <w:b/>
                <w:bCs/>
                <w:sz w:val="24"/>
                <w:szCs w:val="24"/>
                <w:lang w:val="fr-FR"/>
              </w:rPr>
              <w:t>LEP</w:t>
            </w:r>
          </w:p>
          <w:p w14:paraId="25F6F2EC" w14:textId="77777777" w:rsidR="00DE5FA1" w:rsidRDefault="00DE5FA1" w:rsidP="00140AC7">
            <w:pPr>
              <w:widowControl w:val="0"/>
              <w:autoSpaceDE w:val="0"/>
              <w:autoSpaceDN w:val="0"/>
              <w:adjustRightInd w:val="0"/>
              <w:spacing w:after="0" w:line="240" w:lineRule="auto"/>
              <w:ind w:left="355"/>
              <w:jc w:val="center"/>
              <w:rPr>
                <w:rFonts w:ascii="Arial" w:hAnsi="Arial" w:cs="Arial"/>
                <w:b/>
                <w:bCs/>
                <w:sz w:val="24"/>
                <w:szCs w:val="24"/>
                <w:lang w:val="fr-FR"/>
              </w:rPr>
            </w:pPr>
          </w:p>
        </w:tc>
      </w:tr>
    </w:tbl>
    <w:p w14:paraId="4FA429FD" w14:textId="77777777" w:rsidR="00DE5FA1" w:rsidRDefault="00DE5FA1" w:rsidP="00DE5FA1">
      <w:pPr>
        <w:widowControl w:val="0"/>
        <w:autoSpaceDE w:val="0"/>
        <w:autoSpaceDN w:val="0"/>
        <w:adjustRightInd w:val="0"/>
        <w:spacing w:after="0" w:line="240" w:lineRule="auto"/>
        <w:jc w:val="center"/>
        <w:rPr>
          <w:rFonts w:ascii="Arial" w:hAnsi="Arial" w:cs="Arial"/>
          <w:sz w:val="24"/>
          <w:szCs w:val="24"/>
          <w:lang w:val="fr-FR"/>
        </w:rPr>
      </w:pPr>
    </w:p>
    <w:p w14:paraId="67EBBD21" w14:textId="77777777" w:rsidR="00DE5FA1" w:rsidRDefault="00DE5FA1" w:rsidP="00DE5FA1">
      <w:pPr>
        <w:widowControl w:val="0"/>
        <w:autoSpaceDE w:val="0"/>
        <w:autoSpaceDN w:val="0"/>
        <w:adjustRightInd w:val="0"/>
        <w:spacing w:after="0" w:line="240" w:lineRule="auto"/>
        <w:jc w:val="center"/>
        <w:rPr>
          <w:rFonts w:ascii="Arial" w:hAnsi="Arial" w:cs="Arial"/>
          <w:sz w:val="24"/>
          <w:szCs w:val="24"/>
          <w:lang w:val="fr-FR"/>
        </w:rPr>
      </w:pPr>
    </w:p>
    <w:p w14:paraId="59C37C3E" w14:textId="77777777" w:rsidR="00DE5FA1" w:rsidRDefault="00DE5FA1" w:rsidP="00DE5FA1">
      <w:pPr>
        <w:widowControl w:val="0"/>
        <w:autoSpaceDE w:val="0"/>
        <w:autoSpaceDN w:val="0"/>
        <w:adjustRightInd w:val="0"/>
        <w:spacing w:after="0" w:line="240" w:lineRule="auto"/>
        <w:jc w:val="center"/>
        <w:rPr>
          <w:rFonts w:ascii="Arial" w:hAnsi="Arial" w:cs="Arial"/>
          <w:sz w:val="24"/>
          <w:szCs w:val="24"/>
          <w:lang w:val="fr-FR"/>
        </w:rPr>
      </w:pPr>
    </w:p>
    <w:p w14:paraId="3B824DE3" w14:textId="77777777" w:rsidR="00DE5FA1" w:rsidRDefault="00DE5FA1" w:rsidP="00DE5FA1">
      <w:pPr>
        <w:widowControl w:val="0"/>
        <w:autoSpaceDE w:val="0"/>
        <w:autoSpaceDN w:val="0"/>
        <w:adjustRightInd w:val="0"/>
        <w:spacing w:after="0" w:line="240" w:lineRule="auto"/>
        <w:jc w:val="both"/>
        <w:rPr>
          <w:rFonts w:ascii="Arial" w:hAnsi="Arial" w:cs="Arial"/>
          <w:b/>
          <w:bCs/>
          <w:i/>
          <w:iCs/>
          <w:sz w:val="24"/>
          <w:szCs w:val="24"/>
          <w:lang w:val="fr-FR"/>
        </w:rPr>
      </w:pPr>
    </w:p>
    <w:p w14:paraId="10F2BE81" w14:textId="77777777" w:rsidR="00DE5FA1" w:rsidRDefault="00DE5FA1" w:rsidP="00DE5FA1">
      <w:pPr>
        <w:widowControl w:val="0"/>
        <w:autoSpaceDE w:val="0"/>
        <w:autoSpaceDN w:val="0"/>
        <w:adjustRightInd w:val="0"/>
        <w:spacing w:after="0" w:line="240" w:lineRule="auto"/>
        <w:jc w:val="both"/>
        <w:rPr>
          <w:rFonts w:ascii="Arial" w:hAnsi="Arial" w:cs="Arial"/>
          <w:sz w:val="24"/>
          <w:szCs w:val="24"/>
          <w:lang w:val="fr-FR"/>
        </w:rPr>
      </w:pPr>
    </w:p>
    <w:p w14:paraId="4B8327D0" w14:textId="77777777" w:rsidR="00DE5FA1" w:rsidRDefault="00DE5FA1" w:rsidP="00DE5FA1">
      <w:pPr>
        <w:widowControl w:val="0"/>
        <w:autoSpaceDE w:val="0"/>
        <w:autoSpaceDN w:val="0"/>
        <w:adjustRightInd w:val="0"/>
        <w:spacing w:after="0" w:line="240" w:lineRule="auto"/>
        <w:ind w:left="3130"/>
        <w:rPr>
          <w:rFonts w:ascii="Arial" w:hAnsi="Arial" w:cs="Arial"/>
          <w:b/>
          <w:bCs/>
          <w:sz w:val="24"/>
          <w:szCs w:val="24"/>
          <w:lang w:val="fr-FR"/>
        </w:rPr>
      </w:pPr>
      <w:r>
        <w:rPr>
          <w:rFonts w:ascii="Arial" w:hAnsi="Arial" w:cs="Arial"/>
          <w:b/>
          <w:bCs/>
          <w:sz w:val="24"/>
          <w:szCs w:val="24"/>
          <w:lang w:val="fr-FR"/>
        </w:rPr>
        <w:t xml:space="preserve">E-mail: </w:t>
      </w:r>
      <w:hyperlink r:id="rId9" w:history="1">
        <w:r>
          <w:rPr>
            <w:rFonts w:ascii="Arial" w:hAnsi="Arial" w:cs="Arial"/>
            <w:b/>
            <w:bCs/>
            <w:color w:val="0000FF"/>
            <w:sz w:val="20"/>
            <w:szCs w:val="20"/>
            <w:u w:val="single" w:color="0000FF"/>
            <w:lang w:val="fr-FR"/>
          </w:rPr>
          <w:t>info@solep.lu</w:t>
        </w:r>
      </w:hyperlink>
    </w:p>
    <w:p w14:paraId="019B4550" w14:textId="77777777" w:rsidR="00DE5FA1" w:rsidRDefault="00DE5FA1" w:rsidP="00DE5FA1">
      <w:pPr>
        <w:widowControl w:val="0"/>
        <w:tabs>
          <w:tab w:val="left" w:pos="900"/>
        </w:tabs>
        <w:autoSpaceDE w:val="0"/>
        <w:autoSpaceDN w:val="0"/>
        <w:adjustRightInd w:val="0"/>
        <w:spacing w:after="0" w:line="240" w:lineRule="auto"/>
        <w:jc w:val="both"/>
        <w:rPr>
          <w:rFonts w:ascii="Arial" w:hAnsi="Arial" w:cs="Arial"/>
          <w:sz w:val="24"/>
          <w:szCs w:val="24"/>
          <w:lang w:val="fr-FR"/>
        </w:rPr>
      </w:pPr>
    </w:p>
    <w:tbl>
      <w:tblPr>
        <w:tblW w:w="0" w:type="auto"/>
        <w:tblBorders>
          <w:top w:val="nil"/>
          <w:left w:val="nil"/>
          <w:right w:val="nil"/>
        </w:tblBorders>
        <w:tblLayout w:type="fixed"/>
        <w:tblLook w:val="0000" w:firstRow="0" w:lastRow="0" w:firstColumn="0" w:lastColumn="0" w:noHBand="0" w:noVBand="0"/>
      </w:tblPr>
      <w:tblGrid>
        <w:gridCol w:w="3516"/>
        <w:gridCol w:w="5273"/>
      </w:tblGrid>
      <w:tr w:rsidR="00522FC7" w14:paraId="410DAC4B" w14:textId="77777777" w:rsidTr="00522FC7">
        <w:trPr>
          <w:trHeight w:val="312"/>
        </w:trPr>
        <w:tc>
          <w:tcPr>
            <w:tcW w:w="3516" w:type="dxa"/>
            <w:tcBorders>
              <w:top w:val="single" w:sz="8" w:space="0" w:color="BFBFBF"/>
              <w:left w:val="single" w:sz="8" w:space="0" w:color="BFBFBF"/>
              <w:bottom w:val="single" w:sz="8" w:space="0" w:color="BFBFBF"/>
              <w:right w:val="single" w:sz="8" w:space="0" w:color="BFBFBF"/>
            </w:tcBorders>
            <w:shd w:val="clear" w:color="auto" w:fill="FFFF99"/>
            <w:tcMar>
              <w:top w:w="100" w:type="nil"/>
              <w:right w:w="100" w:type="nil"/>
            </w:tcMar>
          </w:tcPr>
          <w:p w14:paraId="3CBEAD02" w14:textId="77777777" w:rsidR="00DE5FA1" w:rsidRDefault="00DE5FA1">
            <w:pPr>
              <w:widowControl w:val="0"/>
              <w:autoSpaceDE w:val="0"/>
              <w:autoSpaceDN w:val="0"/>
              <w:adjustRightInd w:val="0"/>
              <w:spacing w:after="0" w:line="240" w:lineRule="auto"/>
              <w:rPr>
                <w:rFonts w:ascii="Arial" w:hAnsi="Arial" w:cs="Arial"/>
                <w:sz w:val="24"/>
                <w:szCs w:val="24"/>
                <w:lang w:val="fr-FR"/>
              </w:rPr>
            </w:pPr>
            <w:r>
              <w:rPr>
                <w:rFonts w:ascii="Arial" w:hAnsi="Arial" w:cs="Arial"/>
                <w:sz w:val="24"/>
                <w:szCs w:val="24"/>
                <w:lang w:val="fr-FR"/>
              </w:rPr>
              <w:t>Madame, Monsieur</w:t>
            </w:r>
          </w:p>
          <w:p w14:paraId="6D1619A5" w14:textId="3CE9EF71" w:rsidR="00E83EA7" w:rsidRPr="00522FC7" w:rsidRDefault="00AC78D2">
            <w:pPr>
              <w:widowControl w:val="0"/>
              <w:autoSpaceDE w:val="0"/>
              <w:autoSpaceDN w:val="0"/>
              <w:adjustRightInd w:val="0"/>
              <w:spacing w:after="0" w:line="240" w:lineRule="auto"/>
              <w:rPr>
                <w:rFonts w:ascii="Arial" w:hAnsi="Arial" w:cs="Arial"/>
                <w:sz w:val="24"/>
                <w:szCs w:val="24"/>
                <w:lang w:val="fr-FR"/>
              </w:rPr>
            </w:pPr>
            <w:r>
              <w:rPr>
                <w:rFonts w:ascii="Arial" w:hAnsi="Arial" w:cs="Arial"/>
                <w:sz w:val="24"/>
                <w:szCs w:val="24"/>
                <w:lang w:val="fr-FR"/>
              </w:rPr>
              <w:t>Email</w:t>
            </w:r>
          </w:p>
        </w:tc>
        <w:tc>
          <w:tcPr>
            <w:tcW w:w="5273" w:type="dxa"/>
            <w:tcBorders>
              <w:top w:val="single" w:sz="8" w:space="0" w:color="BFBFBF"/>
              <w:left w:val="single" w:sz="8" w:space="0" w:color="BFBFBF"/>
              <w:bottom w:val="single" w:sz="8" w:space="0" w:color="BFBFBF"/>
              <w:right w:val="single" w:sz="8" w:space="0" w:color="BFBFBF"/>
            </w:tcBorders>
            <w:shd w:val="clear" w:color="auto" w:fill="FFFF99"/>
            <w:tcMar>
              <w:top w:w="100" w:type="nil"/>
              <w:right w:w="100" w:type="nil"/>
            </w:tcMar>
          </w:tcPr>
          <w:p w14:paraId="03E2C7F4" w14:textId="77777777" w:rsidR="00DE5FA1" w:rsidRDefault="00DE5FA1">
            <w:pPr>
              <w:widowControl w:val="0"/>
              <w:autoSpaceDE w:val="0"/>
              <w:autoSpaceDN w:val="0"/>
              <w:adjustRightInd w:val="0"/>
              <w:spacing w:after="0" w:line="240" w:lineRule="auto"/>
              <w:rPr>
                <w:rFonts w:ascii="Arial" w:hAnsi="Arial" w:cs="Arial"/>
                <w:b/>
                <w:bCs/>
                <w:sz w:val="24"/>
                <w:szCs w:val="24"/>
                <w:lang w:val="fr-FR"/>
              </w:rPr>
            </w:pPr>
            <w:r>
              <w:rPr>
                <w:rFonts w:ascii="Arial" w:hAnsi="Arial" w:cs="Arial"/>
                <w:b/>
                <w:bCs/>
                <w:sz w:val="24"/>
                <w:szCs w:val="24"/>
                <w:lang w:val="fr-FR"/>
              </w:rPr>
              <w:t xml:space="preserve">                                                                                                </w:t>
            </w:r>
          </w:p>
          <w:p w14:paraId="2E1D9C9B" w14:textId="77777777" w:rsidR="00DE5FA1" w:rsidRDefault="00DE5FA1">
            <w:pPr>
              <w:widowControl w:val="0"/>
              <w:autoSpaceDE w:val="0"/>
              <w:autoSpaceDN w:val="0"/>
              <w:adjustRightInd w:val="0"/>
              <w:spacing w:after="0" w:line="240" w:lineRule="auto"/>
              <w:rPr>
                <w:rFonts w:ascii="Arial" w:hAnsi="Arial" w:cs="Arial"/>
                <w:b/>
                <w:bCs/>
                <w:sz w:val="24"/>
                <w:szCs w:val="24"/>
                <w:lang w:val="fr-FR"/>
              </w:rPr>
            </w:pPr>
          </w:p>
        </w:tc>
      </w:tr>
    </w:tbl>
    <w:p w14:paraId="449785BF" w14:textId="77777777" w:rsidR="00DE5FA1" w:rsidRDefault="00DE5FA1" w:rsidP="00DE5FA1">
      <w:pPr>
        <w:widowControl w:val="0"/>
        <w:autoSpaceDE w:val="0"/>
        <w:autoSpaceDN w:val="0"/>
        <w:adjustRightInd w:val="0"/>
        <w:spacing w:after="0" w:line="240" w:lineRule="auto"/>
        <w:rPr>
          <w:rFonts w:ascii="Arial" w:hAnsi="Arial" w:cs="Arial"/>
          <w:b/>
          <w:bCs/>
          <w:sz w:val="24"/>
          <w:szCs w:val="24"/>
          <w:lang w:val="fr-FR"/>
        </w:rPr>
      </w:pPr>
    </w:p>
    <w:p w14:paraId="03F2DBB0" w14:textId="77777777" w:rsidR="00DE5FA1" w:rsidRDefault="00DE5FA1" w:rsidP="00DE5FA1">
      <w:pPr>
        <w:widowControl w:val="0"/>
        <w:autoSpaceDE w:val="0"/>
        <w:autoSpaceDN w:val="0"/>
        <w:adjustRightInd w:val="0"/>
        <w:spacing w:after="0" w:line="240" w:lineRule="auto"/>
        <w:jc w:val="center"/>
        <w:rPr>
          <w:rFonts w:ascii="Arial" w:hAnsi="Arial" w:cs="Arial"/>
          <w:b/>
          <w:bCs/>
          <w:sz w:val="24"/>
          <w:szCs w:val="24"/>
          <w:lang w:val="fr-FR"/>
        </w:rPr>
      </w:pPr>
    </w:p>
    <w:p w14:paraId="16E2A69D" w14:textId="77777777" w:rsidR="00DE5FA1" w:rsidRDefault="00DE5FA1" w:rsidP="00DE5FA1">
      <w:pPr>
        <w:widowControl w:val="0"/>
        <w:autoSpaceDE w:val="0"/>
        <w:autoSpaceDN w:val="0"/>
        <w:adjustRightInd w:val="0"/>
        <w:spacing w:after="0" w:line="240" w:lineRule="auto"/>
        <w:jc w:val="center"/>
        <w:rPr>
          <w:rFonts w:ascii="Arial" w:hAnsi="Arial" w:cs="Arial"/>
          <w:b/>
          <w:bCs/>
          <w:sz w:val="24"/>
          <w:szCs w:val="24"/>
          <w:lang w:val="fr-FR"/>
        </w:rPr>
      </w:pPr>
    </w:p>
    <w:p w14:paraId="101E86F1" w14:textId="6823BEE6" w:rsidR="00DE5FA1" w:rsidRDefault="00DE5FA1" w:rsidP="00DE5FA1">
      <w:pPr>
        <w:widowControl w:val="0"/>
        <w:autoSpaceDE w:val="0"/>
        <w:autoSpaceDN w:val="0"/>
        <w:adjustRightInd w:val="0"/>
        <w:spacing w:after="0" w:line="240" w:lineRule="auto"/>
        <w:jc w:val="center"/>
        <w:rPr>
          <w:rFonts w:ascii="Arial" w:hAnsi="Arial" w:cs="Arial"/>
          <w:sz w:val="24"/>
          <w:szCs w:val="24"/>
          <w:lang w:val="fr-FR"/>
        </w:rPr>
      </w:pPr>
      <w:r>
        <w:rPr>
          <w:rFonts w:ascii="Arial" w:hAnsi="Arial" w:cs="Arial"/>
          <w:sz w:val="24"/>
          <w:szCs w:val="24"/>
          <w:lang w:val="fr-FR"/>
        </w:rPr>
        <w:t>assistera</w:t>
      </w:r>
      <w:r w:rsidR="003D72B6">
        <w:rPr>
          <w:rFonts w:ascii="Arial" w:hAnsi="Arial" w:cs="Arial"/>
          <w:sz w:val="24"/>
          <w:szCs w:val="24"/>
          <w:lang w:val="fr-FR"/>
        </w:rPr>
        <w:t xml:space="preserve"> à l’Atelier de l’Evaluation n°</w:t>
      </w:r>
      <w:r w:rsidR="00810106">
        <w:rPr>
          <w:rFonts w:ascii="Arial" w:hAnsi="Arial" w:cs="Arial"/>
          <w:sz w:val="24"/>
          <w:szCs w:val="24"/>
          <w:lang w:val="fr-FR"/>
        </w:rPr>
        <w:t>12</w:t>
      </w:r>
      <w:r>
        <w:rPr>
          <w:rFonts w:ascii="Arial" w:hAnsi="Arial" w:cs="Arial"/>
          <w:sz w:val="24"/>
          <w:szCs w:val="24"/>
          <w:lang w:val="fr-FR"/>
        </w:rPr>
        <w:t xml:space="preserve"> </w:t>
      </w:r>
      <w:r w:rsidR="00522FC7">
        <w:rPr>
          <w:rFonts w:ascii="Arial" w:hAnsi="Arial" w:cs="Arial"/>
          <w:sz w:val="24"/>
          <w:szCs w:val="24"/>
          <w:lang w:val="fr-FR"/>
        </w:rPr>
        <w:t>dont le thème est</w:t>
      </w:r>
    </w:p>
    <w:p w14:paraId="7E2B7DF9" w14:textId="77777777" w:rsidR="00DE5FA1" w:rsidRDefault="00DE5FA1" w:rsidP="00DE5FA1">
      <w:pPr>
        <w:widowControl w:val="0"/>
        <w:autoSpaceDE w:val="0"/>
        <w:autoSpaceDN w:val="0"/>
        <w:adjustRightInd w:val="0"/>
        <w:spacing w:after="0" w:line="240" w:lineRule="auto"/>
        <w:jc w:val="center"/>
        <w:rPr>
          <w:rFonts w:ascii="Arial" w:hAnsi="Arial" w:cs="Arial"/>
          <w:sz w:val="24"/>
          <w:szCs w:val="24"/>
          <w:lang w:val="fr-FR"/>
        </w:rPr>
      </w:pPr>
    </w:p>
    <w:p w14:paraId="658CC306" w14:textId="2AEFE1EE" w:rsidR="00DE5FA1" w:rsidRDefault="003D72B6" w:rsidP="00B80540">
      <w:pPr>
        <w:widowControl w:val="0"/>
        <w:autoSpaceDE w:val="0"/>
        <w:autoSpaceDN w:val="0"/>
        <w:adjustRightInd w:val="0"/>
        <w:spacing w:after="0" w:line="240" w:lineRule="auto"/>
        <w:jc w:val="center"/>
        <w:rPr>
          <w:rFonts w:ascii="Arial" w:hAnsi="Arial" w:cs="Arial"/>
          <w:b/>
          <w:bCs/>
          <w:sz w:val="36"/>
          <w:szCs w:val="36"/>
          <w:lang w:val="fr-FR"/>
        </w:rPr>
      </w:pPr>
      <w:r>
        <w:rPr>
          <w:rFonts w:ascii="Arial" w:hAnsi="Arial" w:cs="Arial"/>
          <w:b/>
          <w:bCs/>
          <w:sz w:val="36"/>
          <w:szCs w:val="36"/>
          <w:lang w:val="fr-FR"/>
        </w:rPr>
        <w:t>« </w:t>
      </w:r>
      <w:r w:rsidR="00810106">
        <w:rPr>
          <w:rFonts w:ascii="Arial" w:hAnsi="Arial" w:cs="Arial"/>
          <w:b/>
          <w:bCs/>
          <w:sz w:val="36"/>
          <w:szCs w:val="36"/>
          <w:lang w:val="fr-FR"/>
        </w:rPr>
        <w:t>La Troisième Révolution Industrielle au Luxembourg</w:t>
      </w:r>
      <w:r w:rsidR="00C066BA">
        <w:rPr>
          <w:rFonts w:ascii="Arial" w:hAnsi="Arial" w:cs="Arial"/>
          <w:b/>
          <w:bCs/>
          <w:sz w:val="36"/>
          <w:szCs w:val="36"/>
          <w:lang w:val="fr-FR"/>
        </w:rPr>
        <w:t xml:space="preserve"> : quel suivi des résultats ? </w:t>
      </w:r>
      <w:r>
        <w:rPr>
          <w:rFonts w:ascii="Arial" w:hAnsi="Arial" w:cs="Arial"/>
          <w:b/>
          <w:bCs/>
          <w:sz w:val="36"/>
          <w:szCs w:val="36"/>
          <w:lang w:val="fr-FR"/>
        </w:rPr>
        <w:t>»</w:t>
      </w:r>
    </w:p>
    <w:p w14:paraId="6422A9E6" w14:textId="77777777" w:rsidR="00DE5FA1" w:rsidRDefault="00DE5FA1" w:rsidP="00DE5FA1">
      <w:pPr>
        <w:widowControl w:val="0"/>
        <w:autoSpaceDE w:val="0"/>
        <w:autoSpaceDN w:val="0"/>
        <w:adjustRightInd w:val="0"/>
        <w:spacing w:after="0" w:line="240" w:lineRule="auto"/>
        <w:jc w:val="center"/>
        <w:rPr>
          <w:rFonts w:ascii="Arial" w:hAnsi="Arial" w:cs="Arial"/>
          <w:b/>
          <w:bCs/>
          <w:sz w:val="24"/>
          <w:szCs w:val="24"/>
          <w:lang w:val="fr-FR"/>
        </w:rPr>
      </w:pPr>
    </w:p>
    <w:p w14:paraId="20DCCBE6" w14:textId="6725315F" w:rsidR="00DE5FA1" w:rsidRDefault="00522FC7" w:rsidP="00DE5FA1">
      <w:pPr>
        <w:widowControl w:val="0"/>
        <w:autoSpaceDE w:val="0"/>
        <w:autoSpaceDN w:val="0"/>
        <w:adjustRightInd w:val="0"/>
        <w:spacing w:after="0" w:line="240" w:lineRule="auto"/>
        <w:ind w:left="709" w:right="708"/>
        <w:jc w:val="center"/>
        <w:rPr>
          <w:rFonts w:ascii="Arial" w:hAnsi="Arial" w:cs="Arial"/>
          <w:b/>
          <w:bCs/>
          <w:i/>
          <w:iCs/>
          <w:sz w:val="24"/>
          <w:szCs w:val="24"/>
          <w:lang w:val="fr-FR"/>
        </w:rPr>
      </w:pPr>
      <w:r>
        <w:rPr>
          <w:rFonts w:ascii="Arial" w:hAnsi="Arial" w:cs="Arial"/>
          <w:b/>
          <w:bCs/>
          <w:i/>
          <w:iCs/>
          <w:sz w:val="24"/>
          <w:szCs w:val="24"/>
          <w:lang w:val="fr-FR"/>
        </w:rPr>
        <w:t xml:space="preserve">Le </w:t>
      </w:r>
      <w:r w:rsidR="00810106">
        <w:rPr>
          <w:rFonts w:ascii="Arial" w:hAnsi="Arial" w:cs="Arial"/>
          <w:b/>
          <w:bCs/>
          <w:i/>
          <w:iCs/>
          <w:sz w:val="24"/>
          <w:szCs w:val="24"/>
          <w:lang w:val="fr-FR"/>
        </w:rPr>
        <w:t>lundi 6 février 2017,</w:t>
      </w:r>
      <w:r w:rsidR="001B1B1D">
        <w:rPr>
          <w:rFonts w:ascii="Arial" w:hAnsi="Arial" w:cs="Arial"/>
          <w:b/>
          <w:bCs/>
          <w:i/>
          <w:iCs/>
          <w:sz w:val="24"/>
          <w:szCs w:val="24"/>
          <w:lang w:val="fr-FR"/>
        </w:rPr>
        <w:t xml:space="preserve"> de 1</w:t>
      </w:r>
      <w:r w:rsidR="00810106">
        <w:rPr>
          <w:rFonts w:ascii="Arial" w:hAnsi="Arial" w:cs="Arial"/>
          <w:b/>
          <w:bCs/>
          <w:i/>
          <w:iCs/>
          <w:sz w:val="24"/>
          <w:szCs w:val="24"/>
          <w:lang w:val="fr-FR"/>
        </w:rPr>
        <w:t>7</w:t>
      </w:r>
      <w:r w:rsidR="00B80540">
        <w:rPr>
          <w:rFonts w:ascii="Arial" w:hAnsi="Arial" w:cs="Arial"/>
          <w:b/>
          <w:bCs/>
          <w:i/>
          <w:iCs/>
          <w:sz w:val="24"/>
          <w:szCs w:val="24"/>
          <w:lang w:val="fr-FR"/>
        </w:rPr>
        <w:t>h30 à 1</w:t>
      </w:r>
      <w:r w:rsidR="00810106">
        <w:rPr>
          <w:rFonts w:ascii="Arial" w:hAnsi="Arial" w:cs="Arial"/>
          <w:b/>
          <w:bCs/>
          <w:i/>
          <w:iCs/>
          <w:sz w:val="24"/>
          <w:szCs w:val="24"/>
          <w:lang w:val="fr-FR"/>
        </w:rPr>
        <w:t>9</w:t>
      </w:r>
      <w:r w:rsidR="001B1B1D">
        <w:rPr>
          <w:rFonts w:ascii="Arial" w:hAnsi="Arial" w:cs="Arial"/>
          <w:b/>
          <w:bCs/>
          <w:i/>
          <w:iCs/>
          <w:sz w:val="24"/>
          <w:szCs w:val="24"/>
          <w:lang w:val="fr-FR"/>
        </w:rPr>
        <w:t>h</w:t>
      </w:r>
      <w:r w:rsidR="00810106">
        <w:rPr>
          <w:rFonts w:ascii="Arial" w:hAnsi="Arial" w:cs="Arial"/>
          <w:b/>
          <w:bCs/>
          <w:i/>
          <w:iCs/>
          <w:sz w:val="24"/>
          <w:szCs w:val="24"/>
          <w:lang w:val="fr-FR"/>
        </w:rPr>
        <w:t>45</w:t>
      </w:r>
      <w:r w:rsidR="00DE5FA1">
        <w:rPr>
          <w:rFonts w:ascii="Arial" w:hAnsi="Arial" w:cs="Arial"/>
          <w:b/>
          <w:bCs/>
          <w:i/>
          <w:iCs/>
          <w:sz w:val="24"/>
          <w:szCs w:val="24"/>
          <w:lang w:val="fr-FR"/>
        </w:rPr>
        <w:t xml:space="preserve"> </w:t>
      </w:r>
    </w:p>
    <w:p w14:paraId="51870D3F" w14:textId="77777777" w:rsidR="00DE5FA1" w:rsidRDefault="00DE5FA1" w:rsidP="00DE5FA1">
      <w:pPr>
        <w:widowControl w:val="0"/>
        <w:autoSpaceDE w:val="0"/>
        <w:autoSpaceDN w:val="0"/>
        <w:adjustRightInd w:val="0"/>
        <w:spacing w:after="0" w:line="240" w:lineRule="auto"/>
        <w:ind w:left="709" w:right="708"/>
        <w:jc w:val="center"/>
        <w:rPr>
          <w:rFonts w:ascii="Arial" w:hAnsi="Arial" w:cs="Arial"/>
          <w:b/>
          <w:bCs/>
          <w:i/>
          <w:iCs/>
          <w:sz w:val="24"/>
          <w:szCs w:val="24"/>
          <w:lang w:val="fr-FR"/>
        </w:rPr>
      </w:pPr>
    </w:p>
    <w:p w14:paraId="128C52E7" w14:textId="73B77076" w:rsidR="001B1B1D" w:rsidRPr="0000391D" w:rsidRDefault="0000391D" w:rsidP="001B1B1D">
      <w:pPr>
        <w:widowControl w:val="0"/>
        <w:autoSpaceDE w:val="0"/>
        <w:autoSpaceDN w:val="0"/>
        <w:adjustRightInd w:val="0"/>
        <w:spacing w:after="0" w:line="240" w:lineRule="auto"/>
        <w:ind w:left="709" w:right="708"/>
        <w:jc w:val="center"/>
        <w:rPr>
          <w:rFonts w:ascii="Arial" w:hAnsi="Arial" w:cs="Arial"/>
          <w:b/>
          <w:bCs/>
          <w:i/>
          <w:iCs/>
          <w:sz w:val="32"/>
          <w:szCs w:val="24"/>
        </w:rPr>
      </w:pPr>
      <w:r>
        <w:rPr>
          <w:rFonts w:ascii="Arial" w:hAnsi="Arial" w:cs="Arial"/>
          <w:b/>
          <w:bCs/>
          <w:iCs/>
          <w:sz w:val="32"/>
          <w:szCs w:val="24"/>
          <w:lang w:val="fr-FR"/>
        </w:rPr>
        <w:t>Dans les locaux d</w:t>
      </w:r>
      <w:r w:rsidR="00810106">
        <w:rPr>
          <w:rFonts w:ascii="Arial" w:hAnsi="Arial" w:cs="Arial"/>
          <w:b/>
          <w:bCs/>
          <w:iCs/>
          <w:sz w:val="32"/>
          <w:szCs w:val="24"/>
          <w:lang w:val="fr-FR"/>
        </w:rPr>
        <w:t>e la Chambre de Commerce</w:t>
      </w:r>
    </w:p>
    <w:p w14:paraId="682FA6FE" w14:textId="7A876212" w:rsidR="0000391D" w:rsidRPr="00A5750A" w:rsidRDefault="00810106" w:rsidP="00140AC7">
      <w:pPr>
        <w:widowControl w:val="0"/>
        <w:autoSpaceDE w:val="0"/>
        <w:autoSpaceDN w:val="0"/>
        <w:adjustRightInd w:val="0"/>
        <w:spacing w:after="0" w:line="240" w:lineRule="auto"/>
        <w:ind w:left="709" w:right="708"/>
        <w:jc w:val="center"/>
        <w:rPr>
          <w:rFonts w:ascii="Arial" w:hAnsi="Arial" w:cs="Arial"/>
          <w:b/>
          <w:bCs/>
          <w:i/>
          <w:iCs/>
          <w:sz w:val="32"/>
          <w:szCs w:val="24"/>
        </w:rPr>
      </w:pPr>
      <w:r>
        <w:rPr>
          <w:rFonts w:ascii="Arial" w:hAnsi="Arial" w:cs="Arial"/>
          <w:b/>
          <w:bCs/>
          <w:i/>
          <w:iCs/>
          <w:sz w:val="32"/>
          <w:szCs w:val="24"/>
        </w:rPr>
        <w:t>7, Rue Alcide de Gasperi</w:t>
      </w:r>
      <w:r w:rsidR="0000391D" w:rsidRPr="00A5750A">
        <w:rPr>
          <w:rFonts w:ascii="Arial" w:hAnsi="Arial" w:cs="Arial"/>
          <w:b/>
          <w:bCs/>
          <w:i/>
          <w:iCs/>
          <w:sz w:val="32"/>
          <w:szCs w:val="24"/>
        </w:rPr>
        <w:br/>
        <w:t>L-</w:t>
      </w:r>
      <w:r>
        <w:rPr>
          <w:rFonts w:ascii="Arial" w:hAnsi="Arial" w:cs="Arial"/>
          <w:b/>
          <w:bCs/>
          <w:i/>
          <w:iCs/>
          <w:sz w:val="32"/>
          <w:szCs w:val="24"/>
        </w:rPr>
        <w:t>2981</w:t>
      </w:r>
      <w:r w:rsidR="0000391D" w:rsidRPr="00A5750A">
        <w:rPr>
          <w:rFonts w:ascii="Arial" w:hAnsi="Arial" w:cs="Arial"/>
          <w:b/>
          <w:bCs/>
          <w:i/>
          <w:iCs/>
          <w:sz w:val="32"/>
          <w:szCs w:val="24"/>
        </w:rPr>
        <w:t xml:space="preserve"> Luxembourg</w:t>
      </w:r>
    </w:p>
    <w:p w14:paraId="27EDFEA9" w14:textId="77777777" w:rsidR="00DE5FA1" w:rsidRPr="00A5750A" w:rsidRDefault="00DE5FA1" w:rsidP="00DE5FA1">
      <w:pPr>
        <w:widowControl w:val="0"/>
        <w:tabs>
          <w:tab w:val="left" w:pos="900"/>
        </w:tabs>
        <w:autoSpaceDE w:val="0"/>
        <w:autoSpaceDN w:val="0"/>
        <w:adjustRightInd w:val="0"/>
        <w:spacing w:after="0" w:line="240" w:lineRule="auto"/>
        <w:jc w:val="both"/>
        <w:rPr>
          <w:rFonts w:ascii="Arial" w:hAnsi="Arial" w:cs="Arial"/>
          <w:sz w:val="24"/>
          <w:szCs w:val="24"/>
        </w:rPr>
      </w:pPr>
    </w:p>
    <w:p w14:paraId="29318B52"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6CBA8062"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49DC2743"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1DDB1254"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785AE3F3"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51E7CD66"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44BFA017"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066D6AA0"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2EA02E8E"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4754BA7F" w14:textId="77777777" w:rsidR="00810106" w:rsidRDefault="00810106" w:rsidP="00DE5FA1">
      <w:pPr>
        <w:widowControl w:val="0"/>
        <w:autoSpaceDE w:val="0"/>
        <w:autoSpaceDN w:val="0"/>
        <w:adjustRightInd w:val="0"/>
        <w:spacing w:after="0" w:line="240" w:lineRule="auto"/>
        <w:rPr>
          <w:rFonts w:ascii="Arial" w:hAnsi="Arial" w:cs="Arial"/>
          <w:b/>
          <w:bCs/>
          <w:lang w:val="fr-FR"/>
        </w:rPr>
      </w:pPr>
    </w:p>
    <w:p w14:paraId="18837A46" w14:textId="77777777" w:rsidR="00810106" w:rsidRDefault="00810106" w:rsidP="00DE5FA1">
      <w:pPr>
        <w:widowControl w:val="0"/>
        <w:autoSpaceDE w:val="0"/>
        <w:autoSpaceDN w:val="0"/>
        <w:adjustRightInd w:val="0"/>
        <w:spacing w:after="0" w:line="240" w:lineRule="auto"/>
        <w:rPr>
          <w:rFonts w:ascii="Arial" w:hAnsi="Arial" w:cs="Arial"/>
          <w:b/>
          <w:bCs/>
          <w:lang w:val="fr-FR"/>
        </w:rPr>
      </w:pPr>
    </w:p>
    <w:p w14:paraId="5226BA6D" w14:textId="77777777" w:rsidR="00D951FB" w:rsidRDefault="00D951FB" w:rsidP="00DE5FA1">
      <w:pPr>
        <w:widowControl w:val="0"/>
        <w:autoSpaceDE w:val="0"/>
        <w:autoSpaceDN w:val="0"/>
        <w:adjustRightInd w:val="0"/>
        <w:spacing w:after="0" w:line="240" w:lineRule="auto"/>
        <w:rPr>
          <w:rFonts w:ascii="Arial" w:hAnsi="Arial" w:cs="Arial"/>
          <w:b/>
          <w:bCs/>
          <w:lang w:val="fr-FR"/>
        </w:rPr>
      </w:pPr>
    </w:p>
    <w:p w14:paraId="32CAD452" w14:textId="2B3416CA" w:rsidR="00D951FB" w:rsidRPr="00021234" w:rsidRDefault="00D951FB" w:rsidP="00DE5FA1">
      <w:pPr>
        <w:widowControl w:val="0"/>
        <w:autoSpaceDE w:val="0"/>
        <w:autoSpaceDN w:val="0"/>
        <w:adjustRightInd w:val="0"/>
        <w:spacing w:after="0" w:line="240" w:lineRule="auto"/>
        <w:rPr>
          <w:rFonts w:ascii="Arial" w:hAnsi="Arial" w:cs="Arial"/>
          <w:bCs/>
          <w:lang w:val="fr-FR"/>
        </w:rPr>
      </w:pPr>
    </w:p>
    <w:p w14:paraId="05709936" w14:textId="5C01ACF3" w:rsidR="00DE5FA1" w:rsidRDefault="00522FC7" w:rsidP="00DE5FA1">
      <w:pPr>
        <w:widowControl w:val="0"/>
        <w:autoSpaceDE w:val="0"/>
        <w:autoSpaceDN w:val="0"/>
        <w:adjustRightInd w:val="0"/>
        <w:spacing w:after="0" w:line="240" w:lineRule="auto"/>
        <w:rPr>
          <w:rFonts w:ascii="Arial" w:hAnsi="Arial" w:cs="Arial"/>
          <w:b/>
          <w:bCs/>
          <w:lang w:val="fr-FR"/>
        </w:rPr>
      </w:pPr>
      <w:r>
        <w:rPr>
          <w:rFonts w:ascii="Arial" w:hAnsi="Arial" w:cs="Arial"/>
          <w:b/>
          <w:bCs/>
          <w:lang w:val="fr-FR"/>
        </w:rPr>
        <w:lastRenderedPageBreak/>
        <w:t xml:space="preserve">Programme de l’Atelier </w:t>
      </w:r>
      <w:r w:rsidR="00810106">
        <w:rPr>
          <w:rFonts w:ascii="Arial" w:hAnsi="Arial" w:cs="Arial"/>
          <w:b/>
          <w:bCs/>
          <w:lang w:val="fr-FR"/>
        </w:rPr>
        <w:t>12</w:t>
      </w:r>
    </w:p>
    <w:p w14:paraId="4BB260FE" w14:textId="77777777" w:rsidR="00140AC7" w:rsidRDefault="00140AC7" w:rsidP="00DE5FA1">
      <w:pPr>
        <w:widowControl w:val="0"/>
        <w:autoSpaceDE w:val="0"/>
        <w:autoSpaceDN w:val="0"/>
        <w:adjustRightInd w:val="0"/>
        <w:spacing w:after="0" w:line="240" w:lineRule="auto"/>
        <w:rPr>
          <w:rFonts w:ascii="Arial" w:hAnsi="Arial" w:cs="Arial"/>
          <w:b/>
          <w:bCs/>
          <w:lang w:val="fr-FR"/>
        </w:rPr>
      </w:pPr>
    </w:p>
    <w:p w14:paraId="464D51FD" w14:textId="77777777" w:rsidR="009157E9" w:rsidRDefault="00D256C6" w:rsidP="00D256C6">
      <w:pPr>
        <w:widowControl w:val="0"/>
        <w:autoSpaceDE w:val="0"/>
        <w:autoSpaceDN w:val="0"/>
        <w:adjustRightInd w:val="0"/>
        <w:spacing w:after="0" w:line="360" w:lineRule="auto"/>
        <w:jc w:val="both"/>
        <w:rPr>
          <w:rFonts w:ascii="Arial" w:hAnsi="Arial" w:cs="Arial"/>
          <w:lang w:val="fr-FR"/>
        </w:rPr>
      </w:pPr>
      <w:r w:rsidRPr="00D256C6">
        <w:rPr>
          <w:rFonts w:ascii="Arial" w:hAnsi="Arial" w:cs="Arial"/>
          <w:lang w:val="fr-FR"/>
        </w:rPr>
        <w:t>En janvier 2016, le processus participatif de l’étude stratégique “</w:t>
      </w:r>
      <w:hyperlink r:id="rId10" w:history="1">
        <w:r w:rsidRPr="00D256C6">
          <w:rPr>
            <w:rFonts w:ascii="Arial" w:hAnsi="Arial" w:cs="Arial"/>
            <w:lang w:val="fr-FR"/>
          </w:rPr>
          <w:t>Troisième révolution industrielle</w:t>
        </w:r>
      </w:hyperlink>
      <w:r w:rsidRPr="00D256C6">
        <w:rPr>
          <w:rFonts w:ascii="Arial" w:hAnsi="Arial" w:cs="Arial"/>
          <w:lang w:val="fr-FR"/>
        </w:rPr>
        <w:t xml:space="preserve">” a été lancé. Initié par le ministère de l’Économie en collaboration avec la Chambre </w:t>
      </w:r>
      <w:r>
        <w:rPr>
          <w:rFonts w:ascii="Arial" w:hAnsi="Arial" w:cs="Arial"/>
          <w:lang w:val="fr-FR"/>
        </w:rPr>
        <w:t>de Commerce et IMS Luxembourg, c</w:t>
      </w:r>
      <w:r w:rsidRPr="00D256C6">
        <w:rPr>
          <w:rFonts w:ascii="Arial" w:hAnsi="Arial" w:cs="Arial"/>
          <w:lang w:val="fr-FR"/>
        </w:rPr>
        <w:t xml:space="preserve">e processus </w:t>
      </w:r>
      <w:r>
        <w:rPr>
          <w:rFonts w:ascii="Arial" w:hAnsi="Arial" w:cs="Arial"/>
          <w:lang w:val="fr-FR"/>
        </w:rPr>
        <w:t>s’est caractérisé</w:t>
      </w:r>
      <w:r w:rsidRPr="00D256C6">
        <w:rPr>
          <w:rFonts w:ascii="Arial" w:hAnsi="Arial" w:cs="Arial"/>
          <w:lang w:val="fr-FR"/>
        </w:rPr>
        <w:t xml:space="preserve"> par la transition vers un </w:t>
      </w:r>
      <w:hyperlink r:id="rId11" w:history="1">
        <w:r w:rsidRPr="00D256C6">
          <w:rPr>
            <w:rFonts w:ascii="Arial" w:hAnsi="Arial" w:cs="Arial"/>
            <w:lang w:val="fr-FR"/>
          </w:rPr>
          <w:t>nouveau modèle économique</w:t>
        </w:r>
      </w:hyperlink>
      <w:r w:rsidRPr="00D256C6">
        <w:rPr>
          <w:rFonts w:ascii="Arial" w:hAnsi="Arial" w:cs="Arial"/>
          <w:lang w:val="fr-FR"/>
        </w:rPr>
        <w:t xml:space="preserve"> défini notamment par le couplage des technologies de l’information, des énergies renouvelables et des réseaux de transport intelligents</w:t>
      </w:r>
      <w:r>
        <w:rPr>
          <w:rFonts w:ascii="Arial" w:hAnsi="Arial" w:cs="Arial"/>
          <w:lang w:val="fr-FR"/>
        </w:rPr>
        <w:t>, avec l’objectif</w:t>
      </w:r>
      <w:r w:rsidRPr="00D256C6">
        <w:rPr>
          <w:rFonts w:ascii="Arial" w:hAnsi="Arial" w:cs="Arial"/>
          <w:lang w:val="fr-FR"/>
        </w:rPr>
        <w:t xml:space="preserve"> d’en déduire une stratégie d’ensemble cohérente</w:t>
      </w:r>
      <w:r>
        <w:rPr>
          <w:rFonts w:ascii="Arial" w:hAnsi="Arial" w:cs="Arial"/>
          <w:lang w:val="fr-FR"/>
        </w:rPr>
        <w:t xml:space="preserve"> à décliner sous la forme d’</w:t>
      </w:r>
      <w:r w:rsidRPr="00D256C6">
        <w:rPr>
          <w:rFonts w:ascii="Arial" w:hAnsi="Arial" w:cs="Arial"/>
          <w:lang w:val="fr-FR"/>
        </w:rPr>
        <w:t>un plan d’action opérationnel suggérant des propositions et leviers d’actions concrets afin que le Luxembourg puisse entamer ce processus de longue haleine avec sérénité.</w:t>
      </w:r>
      <w:r>
        <w:rPr>
          <w:rFonts w:ascii="Arial" w:hAnsi="Arial" w:cs="Arial"/>
          <w:lang w:val="fr-FR"/>
        </w:rPr>
        <w:t xml:space="preserve"> </w:t>
      </w:r>
    </w:p>
    <w:p w14:paraId="3948075E" w14:textId="77777777" w:rsidR="009157E9" w:rsidRDefault="009157E9" w:rsidP="00D256C6">
      <w:pPr>
        <w:widowControl w:val="0"/>
        <w:autoSpaceDE w:val="0"/>
        <w:autoSpaceDN w:val="0"/>
        <w:adjustRightInd w:val="0"/>
        <w:spacing w:after="0" w:line="360" w:lineRule="auto"/>
        <w:jc w:val="both"/>
        <w:rPr>
          <w:rFonts w:ascii="Arial" w:hAnsi="Arial" w:cs="Arial"/>
          <w:lang w:val="fr-FR"/>
        </w:rPr>
      </w:pPr>
    </w:p>
    <w:p w14:paraId="53F0FF81" w14:textId="1F4F1E3F" w:rsidR="00D256C6" w:rsidRPr="00D256C6" w:rsidRDefault="00D256C6" w:rsidP="00D256C6">
      <w:pPr>
        <w:widowControl w:val="0"/>
        <w:autoSpaceDE w:val="0"/>
        <w:autoSpaceDN w:val="0"/>
        <w:adjustRightInd w:val="0"/>
        <w:spacing w:after="0" w:line="360" w:lineRule="auto"/>
        <w:jc w:val="both"/>
        <w:rPr>
          <w:rFonts w:ascii="Arial" w:hAnsi="Arial" w:cs="Arial"/>
          <w:lang w:val="fr-FR"/>
        </w:rPr>
      </w:pPr>
      <w:r>
        <w:rPr>
          <w:rFonts w:ascii="Arial" w:hAnsi="Arial" w:cs="Arial"/>
          <w:lang w:val="fr-FR"/>
        </w:rPr>
        <w:t>L’étude afférente a donné lieu, en novembre 2016, à la présentation d’un rapport final</w:t>
      </w:r>
      <w:r w:rsidR="009157E9">
        <w:rPr>
          <w:rFonts w:ascii="Arial" w:hAnsi="Arial" w:cs="Arial"/>
          <w:lang w:val="fr-FR"/>
        </w:rPr>
        <w:t xml:space="preserve"> et des discussions politiques, notamment au parlement, pour définir les initiatives à déduire des réflexions conduites jusqu’alors.</w:t>
      </w:r>
    </w:p>
    <w:p w14:paraId="669742F8" w14:textId="77777777" w:rsidR="00D256C6" w:rsidRPr="00D256C6" w:rsidRDefault="00D256C6" w:rsidP="00C066BA">
      <w:pPr>
        <w:widowControl w:val="0"/>
        <w:autoSpaceDE w:val="0"/>
        <w:autoSpaceDN w:val="0"/>
        <w:adjustRightInd w:val="0"/>
        <w:spacing w:after="0" w:line="360" w:lineRule="auto"/>
        <w:jc w:val="both"/>
        <w:rPr>
          <w:rFonts w:ascii="Arial" w:hAnsi="Arial" w:cs="Arial"/>
        </w:rPr>
      </w:pPr>
    </w:p>
    <w:p w14:paraId="1EC4960D" w14:textId="77777777" w:rsidR="00CF2C1F" w:rsidRDefault="00CF2C1F" w:rsidP="00AD1965">
      <w:pPr>
        <w:jc w:val="both"/>
        <w:rPr>
          <w:rFonts w:ascii="Candara" w:hAnsi="Candara" w:cs="Arial"/>
          <w:b/>
          <w:sz w:val="24"/>
          <w:szCs w:val="24"/>
          <w:lang w:val="fr-BE"/>
        </w:rPr>
      </w:pPr>
    </w:p>
    <w:p w14:paraId="562A5043" w14:textId="77777777" w:rsidR="00CF2C1F" w:rsidRPr="00F375BF" w:rsidRDefault="00CF2C1F" w:rsidP="00F375BF">
      <w:pPr>
        <w:widowControl w:val="0"/>
        <w:autoSpaceDE w:val="0"/>
        <w:autoSpaceDN w:val="0"/>
        <w:adjustRightInd w:val="0"/>
        <w:spacing w:after="0" w:line="360" w:lineRule="auto"/>
        <w:jc w:val="both"/>
        <w:rPr>
          <w:rFonts w:ascii="Arial" w:hAnsi="Arial" w:cs="Arial"/>
          <w:b/>
          <w:bCs/>
          <w:lang w:val="fr-FR"/>
        </w:rPr>
      </w:pPr>
      <w:r w:rsidRPr="00F375BF">
        <w:rPr>
          <w:rFonts w:ascii="Arial" w:hAnsi="Arial" w:cs="Arial"/>
          <w:b/>
          <w:bCs/>
          <w:lang w:val="fr-FR"/>
        </w:rPr>
        <w:t>AGENDA</w:t>
      </w:r>
    </w:p>
    <w:p w14:paraId="3055EF16" w14:textId="77777777" w:rsidR="00CF2C1F" w:rsidRPr="00F375BF" w:rsidRDefault="00CF2C1F" w:rsidP="00F375BF">
      <w:pPr>
        <w:widowControl w:val="0"/>
        <w:autoSpaceDE w:val="0"/>
        <w:autoSpaceDN w:val="0"/>
        <w:adjustRightInd w:val="0"/>
        <w:spacing w:after="0" w:line="360" w:lineRule="auto"/>
        <w:jc w:val="both"/>
        <w:rPr>
          <w:rFonts w:ascii="Arial" w:hAnsi="Arial" w:cs="Arial"/>
          <w:b/>
          <w:bCs/>
          <w:lang w:val="fr-FR"/>
        </w:rPr>
      </w:pPr>
    </w:p>
    <w:p w14:paraId="6BC1E32D" w14:textId="506DCD44" w:rsidR="00CF2C1F" w:rsidRPr="00F375BF" w:rsidRDefault="00CF2C1F" w:rsidP="00F375BF">
      <w:pPr>
        <w:widowControl w:val="0"/>
        <w:autoSpaceDE w:val="0"/>
        <w:autoSpaceDN w:val="0"/>
        <w:adjustRightInd w:val="0"/>
        <w:spacing w:after="0" w:line="360" w:lineRule="auto"/>
        <w:jc w:val="both"/>
        <w:rPr>
          <w:rFonts w:ascii="Arial" w:hAnsi="Arial" w:cs="Arial"/>
          <w:b/>
          <w:bCs/>
          <w:lang w:val="fr-FR"/>
        </w:rPr>
      </w:pPr>
      <w:r w:rsidRPr="00F375BF">
        <w:rPr>
          <w:rFonts w:ascii="Arial" w:hAnsi="Arial" w:cs="Arial"/>
          <w:b/>
          <w:bCs/>
          <w:color w:val="FF0000"/>
          <w:lang w:val="fr-FR"/>
        </w:rPr>
        <w:t>1</w:t>
      </w:r>
      <w:r w:rsidR="009157E9">
        <w:rPr>
          <w:rFonts w:ascii="Arial" w:hAnsi="Arial" w:cs="Arial"/>
          <w:b/>
          <w:bCs/>
          <w:color w:val="FF0000"/>
          <w:lang w:val="fr-FR"/>
        </w:rPr>
        <w:t>7</w:t>
      </w:r>
      <w:r w:rsidRPr="00F375BF">
        <w:rPr>
          <w:rFonts w:ascii="Arial" w:hAnsi="Arial" w:cs="Arial"/>
          <w:b/>
          <w:bCs/>
          <w:color w:val="FF0000"/>
          <w:lang w:val="fr-FR"/>
        </w:rPr>
        <w:t>h30</w:t>
      </w:r>
      <w:r w:rsidRPr="00F375BF">
        <w:rPr>
          <w:rFonts w:ascii="Arial" w:hAnsi="Arial" w:cs="Arial"/>
          <w:b/>
          <w:bCs/>
          <w:lang w:val="fr-FR"/>
        </w:rPr>
        <w:tab/>
      </w:r>
      <w:r w:rsidRPr="007228C4">
        <w:rPr>
          <w:rFonts w:ascii="Arial" w:hAnsi="Arial" w:cs="Arial"/>
          <w:b/>
          <w:bCs/>
        </w:rPr>
        <w:t>Introduction</w:t>
      </w:r>
      <w:r w:rsidRPr="00F375BF">
        <w:rPr>
          <w:rFonts w:ascii="Arial" w:hAnsi="Arial" w:cs="Arial"/>
          <w:b/>
          <w:bCs/>
          <w:sz w:val="20"/>
          <w:szCs w:val="20"/>
          <w:lang w:val="fr-FR"/>
        </w:rPr>
        <w:t xml:space="preserve"> (par M</w:t>
      </w:r>
      <w:r w:rsidR="00D951FB" w:rsidRPr="00F375BF">
        <w:rPr>
          <w:rFonts w:ascii="Arial" w:hAnsi="Arial" w:cs="Arial"/>
          <w:b/>
          <w:bCs/>
          <w:sz w:val="20"/>
          <w:szCs w:val="20"/>
          <w:lang w:val="fr-FR"/>
        </w:rPr>
        <w:t>.</w:t>
      </w:r>
      <w:r w:rsidRPr="00F375BF">
        <w:rPr>
          <w:rFonts w:ascii="Arial" w:hAnsi="Arial" w:cs="Arial"/>
          <w:b/>
          <w:bCs/>
          <w:sz w:val="20"/>
          <w:szCs w:val="20"/>
          <w:lang w:val="fr-FR"/>
        </w:rPr>
        <w:t xml:space="preserve"> Luc Lefebvre, SOLEP)</w:t>
      </w:r>
    </w:p>
    <w:p w14:paraId="08351A6E" w14:textId="77777777" w:rsidR="00CF2C1F" w:rsidRPr="00F375BF" w:rsidRDefault="00CF2C1F" w:rsidP="00F375BF">
      <w:pPr>
        <w:widowControl w:val="0"/>
        <w:autoSpaceDE w:val="0"/>
        <w:autoSpaceDN w:val="0"/>
        <w:adjustRightInd w:val="0"/>
        <w:spacing w:after="0" w:line="360" w:lineRule="auto"/>
        <w:jc w:val="both"/>
        <w:rPr>
          <w:rFonts w:ascii="Arial" w:hAnsi="Arial" w:cs="Arial"/>
          <w:b/>
          <w:bCs/>
          <w:lang w:val="fr-FR"/>
        </w:rPr>
      </w:pPr>
    </w:p>
    <w:p w14:paraId="0A6BFE5A" w14:textId="72F70EFC" w:rsidR="00F375BF" w:rsidRPr="00F375BF" w:rsidRDefault="00CF2C1F" w:rsidP="00F375BF">
      <w:pPr>
        <w:pStyle w:val="CommentText"/>
        <w:jc w:val="both"/>
        <w:rPr>
          <w:rFonts w:ascii="Arial" w:hAnsi="Arial" w:cs="Arial"/>
          <w:b/>
          <w:bCs/>
          <w:lang w:val="fr-FR"/>
        </w:rPr>
      </w:pPr>
      <w:r w:rsidRPr="00F375BF">
        <w:rPr>
          <w:rFonts w:ascii="Arial" w:hAnsi="Arial" w:cs="Arial"/>
          <w:b/>
          <w:bCs/>
          <w:color w:val="FF0000"/>
          <w:sz w:val="22"/>
          <w:szCs w:val="22"/>
          <w:lang w:val="fr-FR"/>
        </w:rPr>
        <w:t>1</w:t>
      </w:r>
      <w:r w:rsidR="009157E9">
        <w:rPr>
          <w:rFonts w:ascii="Arial" w:hAnsi="Arial" w:cs="Arial"/>
          <w:b/>
          <w:bCs/>
          <w:color w:val="FF0000"/>
          <w:sz w:val="22"/>
          <w:szCs w:val="22"/>
          <w:lang w:val="fr-FR"/>
        </w:rPr>
        <w:t>7</w:t>
      </w:r>
      <w:r w:rsidRPr="00F375BF">
        <w:rPr>
          <w:rFonts w:ascii="Arial" w:hAnsi="Arial" w:cs="Arial"/>
          <w:b/>
          <w:bCs/>
          <w:color w:val="FF0000"/>
          <w:sz w:val="22"/>
          <w:szCs w:val="22"/>
          <w:lang w:val="fr-FR"/>
        </w:rPr>
        <w:t>h45</w:t>
      </w:r>
      <w:r w:rsidRPr="00F375BF">
        <w:rPr>
          <w:rFonts w:ascii="Arial" w:hAnsi="Arial" w:cs="Arial"/>
          <w:b/>
          <w:bCs/>
          <w:color w:val="FF0000"/>
          <w:lang w:val="fr-FR"/>
        </w:rPr>
        <w:t xml:space="preserve"> </w:t>
      </w:r>
      <w:r w:rsidRPr="00F375BF">
        <w:rPr>
          <w:rFonts w:ascii="Arial" w:hAnsi="Arial" w:cs="Arial"/>
          <w:b/>
          <w:bCs/>
          <w:sz w:val="22"/>
          <w:szCs w:val="22"/>
        </w:rPr>
        <w:t>Exposé 1 </w:t>
      </w:r>
      <w:r w:rsidR="002A2DEE">
        <w:rPr>
          <w:rFonts w:ascii="Arial" w:hAnsi="Arial" w:cs="Arial"/>
          <w:b/>
          <w:bCs/>
          <w:lang w:val="fr-FR"/>
        </w:rPr>
        <w:t>: « Introduction : e</w:t>
      </w:r>
      <w:r w:rsidR="002A2DEE" w:rsidRPr="002A2DEE">
        <w:rPr>
          <w:rFonts w:ascii="Arial" w:hAnsi="Arial" w:cs="Arial"/>
          <w:b/>
          <w:bCs/>
          <w:lang w:val="fr-FR"/>
        </w:rPr>
        <w:t xml:space="preserve">njeux de la </w:t>
      </w:r>
      <w:r w:rsidR="009157E9">
        <w:rPr>
          <w:rFonts w:ascii="Arial" w:hAnsi="Arial" w:cs="Arial"/>
          <w:b/>
          <w:bCs/>
          <w:lang w:val="fr-FR"/>
        </w:rPr>
        <w:t>TIR au Luxembourg</w:t>
      </w:r>
      <w:r w:rsidR="002A2DEE" w:rsidRPr="002A2DEE">
        <w:rPr>
          <w:rFonts w:ascii="Arial" w:hAnsi="Arial" w:cs="Arial"/>
          <w:b/>
          <w:bCs/>
          <w:lang w:val="fr-FR"/>
        </w:rPr>
        <w:t xml:space="preserve"> et principa</w:t>
      </w:r>
      <w:r w:rsidR="002A2DEE">
        <w:rPr>
          <w:rFonts w:ascii="Arial" w:hAnsi="Arial" w:cs="Arial"/>
          <w:b/>
          <w:bCs/>
          <w:lang w:val="fr-FR"/>
        </w:rPr>
        <w:t>ux éléments de</w:t>
      </w:r>
      <w:r w:rsidR="009157E9">
        <w:rPr>
          <w:rFonts w:ascii="Arial" w:hAnsi="Arial" w:cs="Arial"/>
          <w:b/>
          <w:bCs/>
          <w:lang w:val="fr-FR"/>
        </w:rPr>
        <w:t xml:space="preserve"> la réflexion prospective co-conduite par l’équipe de Jeremy Rifkin et le pays »</w:t>
      </w:r>
      <w:r w:rsidR="002A2DEE">
        <w:rPr>
          <w:rFonts w:ascii="Arial" w:hAnsi="Arial" w:cs="Arial"/>
          <w:b/>
          <w:bCs/>
          <w:lang w:val="fr-FR"/>
        </w:rPr>
        <w:t xml:space="preserve"> </w:t>
      </w:r>
      <w:r w:rsidRPr="00F375BF">
        <w:rPr>
          <w:rFonts w:ascii="Arial" w:hAnsi="Arial" w:cs="Arial"/>
          <w:b/>
          <w:bCs/>
          <w:lang w:val="fr-FR"/>
        </w:rPr>
        <w:t>(par M</w:t>
      </w:r>
      <w:r w:rsidR="009157E9">
        <w:rPr>
          <w:rFonts w:ascii="Arial" w:hAnsi="Arial" w:cs="Arial"/>
          <w:b/>
          <w:bCs/>
          <w:lang w:val="fr-FR"/>
        </w:rPr>
        <w:t xml:space="preserve">. </w:t>
      </w:r>
      <w:r w:rsidR="005B3672">
        <w:rPr>
          <w:rFonts w:ascii="Arial" w:hAnsi="Arial" w:cs="Arial"/>
          <w:b/>
          <w:bCs/>
          <w:lang w:val="fr-FR"/>
        </w:rPr>
        <w:t xml:space="preserve">Marc </w:t>
      </w:r>
      <w:r w:rsidR="009157E9">
        <w:rPr>
          <w:rFonts w:ascii="Arial" w:hAnsi="Arial" w:cs="Arial"/>
          <w:b/>
          <w:bCs/>
          <w:lang w:val="fr-FR"/>
        </w:rPr>
        <w:t>Wagener, Chambre de Commerce</w:t>
      </w:r>
      <w:r w:rsidRPr="00F375BF">
        <w:rPr>
          <w:rFonts w:ascii="Arial" w:hAnsi="Arial" w:cs="Arial"/>
          <w:b/>
          <w:bCs/>
          <w:lang w:val="fr-FR"/>
        </w:rPr>
        <w:t>)</w:t>
      </w:r>
    </w:p>
    <w:p w14:paraId="4118B264" w14:textId="77777777" w:rsidR="00F375BF" w:rsidRPr="00F375BF" w:rsidRDefault="00F375BF" w:rsidP="00F375BF">
      <w:pPr>
        <w:pStyle w:val="CommentText"/>
        <w:jc w:val="both"/>
        <w:rPr>
          <w:rFonts w:ascii="Arial" w:hAnsi="Arial" w:cs="Arial"/>
          <w:b/>
          <w:bCs/>
          <w:lang w:val="fr-FR"/>
        </w:rPr>
      </w:pPr>
    </w:p>
    <w:p w14:paraId="2141DDFD" w14:textId="22AFA8F8" w:rsidR="00F375BF" w:rsidRPr="00F375BF" w:rsidRDefault="00CF2C1F" w:rsidP="00F375BF">
      <w:pPr>
        <w:pStyle w:val="CommentText"/>
        <w:jc w:val="both"/>
        <w:rPr>
          <w:rFonts w:ascii="Arial" w:hAnsi="Arial" w:cs="Arial"/>
          <w:b/>
          <w:bCs/>
          <w:lang w:val="fr-FR"/>
        </w:rPr>
      </w:pPr>
      <w:r w:rsidRPr="00F375BF">
        <w:rPr>
          <w:rFonts w:ascii="Arial" w:hAnsi="Arial" w:cs="Arial"/>
          <w:b/>
          <w:bCs/>
          <w:color w:val="FF0000"/>
          <w:lang w:val="fr-FR"/>
        </w:rPr>
        <w:t>1</w:t>
      </w:r>
      <w:r w:rsidR="009157E9">
        <w:rPr>
          <w:rFonts w:ascii="Arial" w:hAnsi="Arial" w:cs="Arial"/>
          <w:b/>
          <w:bCs/>
          <w:color w:val="FF0000"/>
          <w:lang w:val="fr-FR"/>
        </w:rPr>
        <w:t>8</w:t>
      </w:r>
      <w:r w:rsidRPr="00F375BF">
        <w:rPr>
          <w:rFonts w:ascii="Arial" w:hAnsi="Arial" w:cs="Arial"/>
          <w:b/>
          <w:bCs/>
          <w:color w:val="FF0000"/>
          <w:lang w:val="fr-FR"/>
        </w:rPr>
        <w:t>h15</w:t>
      </w:r>
      <w:r w:rsidRPr="00F375BF">
        <w:rPr>
          <w:rFonts w:ascii="Arial" w:hAnsi="Arial" w:cs="Arial"/>
          <w:b/>
          <w:bCs/>
          <w:lang w:val="fr-FR"/>
        </w:rPr>
        <w:t xml:space="preserve"> </w:t>
      </w:r>
      <w:r w:rsidRPr="00397D32">
        <w:rPr>
          <w:rFonts w:ascii="Arial" w:hAnsi="Arial" w:cs="Arial"/>
          <w:b/>
          <w:bCs/>
          <w:sz w:val="22"/>
          <w:szCs w:val="22"/>
        </w:rPr>
        <w:t>Exposé 2 </w:t>
      </w:r>
      <w:r w:rsidRPr="00F375BF">
        <w:rPr>
          <w:rFonts w:ascii="Arial" w:hAnsi="Arial" w:cs="Arial"/>
          <w:b/>
          <w:bCs/>
          <w:lang w:val="fr-FR"/>
        </w:rPr>
        <w:t xml:space="preserve">: </w:t>
      </w:r>
      <w:r w:rsidR="005B3672">
        <w:rPr>
          <w:rFonts w:ascii="Arial" w:hAnsi="Arial" w:cs="Arial"/>
          <w:b/>
          <w:bCs/>
          <w:lang w:val="fr-FR"/>
        </w:rPr>
        <w:t xml:space="preserve">« Les enjeux de la mise en œuvre et du suivi des résultats de la TIR dans les Hauts de France » </w:t>
      </w:r>
      <w:r w:rsidRPr="00F375BF">
        <w:rPr>
          <w:rFonts w:ascii="Arial" w:hAnsi="Arial" w:cs="Arial"/>
          <w:b/>
          <w:bCs/>
          <w:lang w:val="fr-FR"/>
        </w:rPr>
        <w:t xml:space="preserve"> (par M</w:t>
      </w:r>
      <w:r w:rsidR="009157E9">
        <w:rPr>
          <w:rFonts w:ascii="Arial" w:hAnsi="Arial" w:cs="Arial"/>
          <w:b/>
          <w:bCs/>
          <w:lang w:val="fr-FR"/>
        </w:rPr>
        <w:t xml:space="preserve">. </w:t>
      </w:r>
      <w:r w:rsidR="005B3672">
        <w:rPr>
          <w:rFonts w:ascii="Arial" w:hAnsi="Arial" w:cs="Arial"/>
          <w:b/>
          <w:bCs/>
          <w:lang w:val="fr-FR"/>
        </w:rPr>
        <w:t xml:space="preserve">Bertrand </w:t>
      </w:r>
      <w:r w:rsidR="009157E9">
        <w:rPr>
          <w:rFonts w:ascii="Arial" w:hAnsi="Arial" w:cs="Arial"/>
          <w:b/>
          <w:bCs/>
          <w:lang w:val="fr-FR"/>
        </w:rPr>
        <w:t>Zuindeau</w:t>
      </w:r>
      <w:r w:rsidRPr="00F375BF">
        <w:rPr>
          <w:rFonts w:ascii="Arial" w:hAnsi="Arial" w:cs="Arial"/>
          <w:b/>
          <w:bCs/>
          <w:lang w:val="fr-FR"/>
        </w:rPr>
        <w:t>,</w:t>
      </w:r>
      <w:r w:rsidR="00DB44D1">
        <w:rPr>
          <w:rFonts w:ascii="Arial" w:hAnsi="Arial" w:cs="Arial"/>
          <w:b/>
          <w:bCs/>
          <w:lang w:val="fr-FR"/>
        </w:rPr>
        <w:t xml:space="preserve"> Directeur de projet </w:t>
      </w:r>
      <w:r w:rsidR="005B3672">
        <w:rPr>
          <w:rFonts w:ascii="Arial" w:hAnsi="Arial" w:cs="Arial"/>
          <w:b/>
          <w:bCs/>
          <w:lang w:val="fr-FR"/>
        </w:rPr>
        <w:t>« Mission Troisième Révolution Industrielle en Hauts de France »</w:t>
      </w:r>
      <w:r w:rsidRPr="00F375BF">
        <w:rPr>
          <w:rFonts w:ascii="Arial" w:hAnsi="Arial" w:cs="Arial"/>
          <w:b/>
          <w:bCs/>
          <w:lang w:val="fr-FR"/>
        </w:rPr>
        <w:t>)</w:t>
      </w:r>
    </w:p>
    <w:p w14:paraId="243E4EF7" w14:textId="2352D06E" w:rsidR="00CF2C1F" w:rsidRPr="00F375BF" w:rsidRDefault="00CF2C1F" w:rsidP="00F375BF">
      <w:pPr>
        <w:jc w:val="both"/>
        <w:rPr>
          <w:rFonts w:ascii="Arial" w:hAnsi="Arial" w:cs="Arial"/>
          <w:b/>
          <w:bCs/>
          <w:lang w:val="fr-FR"/>
        </w:rPr>
      </w:pPr>
      <w:r w:rsidRPr="00F375BF">
        <w:rPr>
          <w:rFonts w:ascii="Arial" w:hAnsi="Arial" w:cs="Arial"/>
          <w:b/>
          <w:bCs/>
          <w:color w:val="FF0000"/>
          <w:lang w:val="fr-FR"/>
        </w:rPr>
        <w:t>1</w:t>
      </w:r>
      <w:r w:rsidR="009157E9">
        <w:rPr>
          <w:rFonts w:ascii="Arial" w:hAnsi="Arial" w:cs="Arial"/>
          <w:b/>
          <w:bCs/>
          <w:color w:val="FF0000"/>
          <w:lang w:val="fr-FR"/>
        </w:rPr>
        <w:t>8</w:t>
      </w:r>
      <w:r w:rsidRPr="00F375BF">
        <w:rPr>
          <w:rFonts w:ascii="Arial" w:hAnsi="Arial" w:cs="Arial"/>
          <w:b/>
          <w:bCs/>
          <w:color w:val="FF0000"/>
          <w:lang w:val="fr-FR"/>
        </w:rPr>
        <w:t>h</w:t>
      </w:r>
      <w:r w:rsidR="009157E9">
        <w:rPr>
          <w:rFonts w:ascii="Arial" w:hAnsi="Arial" w:cs="Arial"/>
          <w:b/>
          <w:bCs/>
          <w:color w:val="FF0000"/>
          <w:lang w:val="fr-FR"/>
        </w:rPr>
        <w:t>4</w:t>
      </w:r>
      <w:r w:rsidRPr="00F375BF">
        <w:rPr>
          <w:rFonts w:ascii="Arial" w:hAnsi="Arial" w:cs="Arial"/>
          <w:b/>
          <w:bCs/>
          <w:color w:val="FF0000"/>
          <w:lang w:val="fr-FR"/>
        </w:rPr>
        <w:t>5</w:t>
      </w:r>
      <w:r w:rsidR="007228C4">
        <w:rPr>
          <w:rFonts w:ascii="Arial" w:hAnsi="Arial" w:cs="Arial"/>
          <w:b/>
          <w:bCs/>
          <w:lang w:val="fr-FR"/>
        </w:rPr>
        <w:t xml:space="preserve"> Discussion</w:t>
      </w:r>
    </w:p>
    <w:p w14:paraId="05682437" w14:textId="77777777" w:rsidR="00CF2C1F" w:rsidRPr="00F375BF" w:rsidRDefault="00CF2C1F" w:rsidP="00F375BF">
      <w:pPr>
        <w:widowControl w:val="0"/>
        <w:autoSpaceDE w:val="0"/>
        <w:autoSpaceDN w:val="0"/>
        <w:adjustRightInd w:val="0"/>
        <w:spacing w:after="0" w:line="360" w:lineRule="auto"/>
        <w:jc w:val="both"/>
        <w:rPr>
          <w:rFonts w:ascii="Arial" w:hAnsi="Arial" w:cs="Arial"/>
          <w:b/>
          <w:bCs/>
          <w:lang w:val="fr-FR"/>
        </w:rPr>
      </w:pPr>
    </w:p>
    <w:p w14:paraId="0741F43A" w14:textId="6EAA836C" w:rsidR="00CF2C1F" w:rsidRDefault="00CF2C1F" w:rsidP="00F375BF">
      <w:pPr>
        <w:widowControl w:val="0"/>
        <w:autoSpaceDE w:val="0"/>
        <w:autoSpaceDN w:val="0"/>
        <w:adjustRightInd w:val="0"/>
        <w:spacing w:after="0" w:line="360" w:lineRule="auto"/>
        <w:jc w:val="both"/>
        <w:rPr>
          <w:rFonts w:ascii="Arial" w:hAnsi="Arial" w:cs="Arial"/>
          <w:b/>
          <w:bCs/>
          <w:lang w:val="fr-FR"/>
        </w:rPr>
      </w:pPr>
      <w:r w:rsidRPr="00F375BF">
        <w:rPr>
          <w:rFonts w:ascii="Arial" w:hAnsi="Arial" w:cs="Arial"/>
          <w:b/>
          <w:bCs/>
          <w:color w:val="FF0000"/>
          <w:lang w:val="fr-FR"/>
        </w:rPr>
        <w:t>1</w:t>
      </w:r>
      <w:r w:rsidR="009157E9">
        <w:rPr>
          <w:rFonts w:ascii="Arial" w:hAnsi="Arial" w:cs="Arial"/>
          <w:b/>
          <w:bCs/>
          <w:color w:val="FF0000"/>
          <w:lang w:val="fr-FR"/>
        </w:rPr>
        <w:t>9</w:t>
      </w:r>
      <w:r w:rsidRPr="00F375BF">
        <w:rPr>
          <w:rFonts w:ascii="Arial" w:hAnsi="Arial" w:cs="Arial"/>
          <w:b/>
          <w:bCs/>
          <w:color w:val="FF0000"/>
          <w:lang w:val="fr-FR"/>
        </w:rPr>
        <w:t>h</w:t>
      </w:r>
      <w:r w:rsidR="009157E9">
        <w:rPr>
          <w:rFonts w:ascii="Arial" w:hAnsi="Arial" w:cs="Arial"/>
          <w:b/>
          <w:bCs/>
          <w:color w:val="FF0000"/>
          <w:lang w:val="fr-FR"/>
        </w:rPr>
        <w:t>3</w:t>
      </w:r>
      <w:r w:rsidRPr="00F375BF">
        <w:rPr>
          <w:rFonts w:ascii="Arial" w:hAnsi="Arial" w:cs="Arial"/>
          <w:b/>
          <w:bCs/>
          <w:color w:val="FF0000"/>
          <w:lang w:val="fr-FR"/>
        </w:rPr>
        <w:t>0</w:t>
      </w:r>
      <w:r w:rsidR="007228C4">
        <w:rPr>
          <w:rFonts w:ascii="Arial" w:hAnsi="Arial" w:cs="Arial"/>
          <w:b/>
          <w:bCs/>
          <w:lang w:val="fr-FR"/>
        </w:rPr>
        <w:t xml:space="preserve"> Clôture</w:t>
      </w:r>
    </w:p>
    <w:p w14:paraId="1E80B714" w14:textId="77777777" w:rsidR="009157E9" w:rsidRDefault="009157E9" w:rsidP="00AD1965">
      <w:pPr>
        <w:jc w:val="both"/>
        <w:rPr>
          <w:rFonts w:ascii="Candara" w:hAnsi="Candara" w:cs="Arial"/>
          <w:b/>
          <w:sz w:val="24"/>
          <w:szCs w:val="24"/>
          <w:lang w:val="fr-BE"/>
        </w:rPr>
      </w:pPr>
    </w:p>
    <w:p w14:paraId="6A79A72C" w14:textId="085AFEA8" w:rsidR="00AD1965" w:rsidRDefault="00163BB5" w:rsidP="00AD1965">
      <w:pPr>
        <w:jc w:val="both"/>
        <w:rPr>
          <w:rFonts w:ascii="Candara" w:hAnsi="Candara" w:cs="Arial"/>
          <w:b/>
          <w:sz w:val="24"/>
          <w:szCs w:val="24"/>
          <w:lang w:val="fr-BE"/>
        </w:rPr>
      </w:pPr>
      <w:r>
        <w:rPr>
          <w:rFonts w:ascii="Candara" w:hAnsi="Candara" w:cs="Arial"/>
          <w:b/>
          <w:sz w:val="24"/>
          <w:szCs w:val="24"/>
          <w:lang w:val="fr-BE"/>
        </w:rPr>
        <w:t>UN VERRE DE CONCLUSION SERA PROPOSE EN FIN DE SESSION</w:t>
      </w:r>
    </w:p>
    <w:p w14:paraId="615C6CF4" w14:textId="77777777" w:rsidR="00397D32" w:rsidRPr="002E1FFF" w:rsidRDefault="00397D32" w:rsidP="00AD1965">
      <w:pPr>
        <w:jc w:val="both"/>
        <w:rPr>
          <w:rFonts w:ascii="Candara" w:hAnsi="Candara" w:cs="Arial"/>
          <w:b/>
          <w:sz w:val="24"/>
          <w:szCs w:val="24"/>
          <w:lang w:val="fr-BE"/>
        </w:rPr>
      </w:pPr>
    </w:p>
    <w:p w14:paraId="4C14662F" w14:textId="77777777" w:rsidR="00021234" w:rsidRDefault="00021234" w:rsidP="00AD1965">
      <w:pPr>
        <w:jc w:val="both"/>
        <w:rPr>
          <w:rFonts w:ascii="Candara" w:hAnsi="Candara" w:cs="Arial"/>
          <w:b/>
          <w:sz w:val="24"/>
          <w:szCs w:val="24"/>
        </w:rPr>
      </w:pPr>
    </w:p>
    <w:p w14:paraId="45A105A5" w14:textId="59C3EDF2" w:rsidR="00021234" w:rsidRDefault="00371739" w:rsidP="00AD1965">
      <w:pPr>
        <w:jc w:val="both"/>
        <w:rPr>
          <w:rFonts w:ascii="Candara" w:hAnsi="Candara" w:cs="Arial"/>
          <w:b/>
          <w:sz w:val="24"/>
          <w:szCs w:val="24"/>
        </w:rPr>
      </w:pPr>
      <w:r>
        <w:rPr>
          <w:rFonts w:ascii="Candara" w:hAnsi="Candara" w:cs="Arial"/>
          <w:b/>
          <w:sz w:val="24"/>
          <w:szCs w:val="24"/>
        </w:rPr>
        <w:lastRenderedPageBreak/>
        <w:t>Les orateurs en quelques mots</w:t>
      </w:r>
    </w:p>
    <w:p w14:paraId="242BF202" w14:textId="77777777" w:rsidR="00B321DF" w:rsidRDefault="00B321DF" w:rsidP="00433D37">
      <w:pPr>
        <w:autoSpaceDE w:val="0"/>
        <w:autoSpaceDN w:val="0"/>
        <w:adjustRightInd w:val="0"/>
        <w:spacing w:line="360" w:lineRule="auto"/>
        <w:jc w:val="both"/>
        <w:rPr>
          <w:rFonts w:ascii="Arial" w:hAnsi="Arial" w:cs="Arial"/>
          <w:b/>
          <w:lang w:val="fr-FR"/>
        </w:rPr>
      </w:pPr>
    </w:p>
    <w:p w14:paraId="569E948F" w14:textId="77777777" w:rsidR="00433D37" w:rsidRDefault="00433D37" w:rsidP="00433D37">
      <w:pPr>
        <w:autoSpaceDE w:val="0"/>
        <w:autoSpaceDN w:val="0"/>
        <w:adjustRightInd w:val="0"/>
        <w:spacing w:line="360" w:lineRule="auto"/>
        <w:jc w:val="both"/>
        <w:rPr>
          <w:rFonts w:ascii="Arial" w:hAnsi="Arial" w:cs="Arial"/>
          <w:lang w:val="fr-FR"/>
        </w:rPr>
      </w:pPr>
      <w:r>
        <w:rPr>
          <w:rFonts w:ascii="Arial" w:hAnsi="Arial" w:cs="Arial"/>
          <w:b/>
          <w:lang w:val="fr-FR"/>
        </w:rPr>
        <w:t xml:space="preserve">Marc Wagener </w:t>
      </w:r>
      <w:r>
        <w:rPr>
          <w:rFonts w:ascii="Arial" w:hAnsi="Arial" w:cs="Arial"/>
          <w:lang w:val="fr-FR"/>
        </w:rPr>
        <w:t xml:space="preserve">est membre du Comité de Direction de la Chambre de Commerce, en charge de la Direction des Affaires économiques et de la Direction des affaires courantes de la Fondation IDEA a.s.b.l.. Ancien coordinateur général de l’initiative prospective </w:t>
      </w:r>
      <w:bookmarkStart w:id="0" w:name="company"/>
      <w:r>
        <w:rPr>
          <w:rFonts w:ascii="Arial" w:hAnsi="Arial" w:cs="Arial"/>
          <w:lang w:val="fr-FR"/>
        </w:rPr>
        <w:fldChar w:fldCharType="begin"/>
      </w:r>
      <w:r>
        <w:rPr>
          <w:rFonts w:ascii="Arial" w:hAnsi="Arial" w:cs="Arial"/>
          <w:lang w:val="fr-FR"/>
        </w:rPr>
        <w:instrText xml:space="preserve"> HYPERLINK "https://www.linkedin.com/vsearch/p?company=2030%2Elu+-+Ambition+pour+le+futur&amp;trk=prof-exp-company-name" \o "Trouver des personnes ayant travaillé dans cette entreprise" </w:instrText>
      </w:r>
      <w:r>
        <w:rPr>
          <w:rFonts w:ascii="Arial" w:hAnsi="Arial" w:cs="Arial"/>
          <w:lang w:val="fr-FR"/>
        </w:rPr>
        <w:fldChar w:fldCharType="separate"/>
      </w:r>
      <w:r>
        <w:rPr>
          <w:rStyle w:val="Hyperlink"/>
          <w:rFonts w:ascii="Arial" w:hAnsi="Arial" w:cs="Arial"/>
          <w:i/>
        </w:rPr>
        <w:t>2030.lu - Ambition pour le futur</w:t>
      </w:r>
      <w:r>
        <w:rPr>
          <w:rFonts w:ascii="Arial" w:hAnsi="Arial" w:cs="Arial"/>
          <w:lang w:val="fr-FR"/>
        </w:rPr>
        <w:fldChar w:fldCharType="end"/>
      </w:r>
      <w:bookmarkEnd w:id="0"/>
      <w:r>
        <w:rPr>
          <w:rFonts w:ascii="Arial" w:hAnsi="Arial" w:cs="Arial"/>
          <w:lang w:val="fr-FR"/>
        </w:rPr>
        <w:t xml:space="preserve"> et co-auteur, entre autres, du rapport « Luxembourg 2030 » publié en 2015</w:t>
      </w:r>
      <w:r>
        <w:rPr>
          <w:rFonts w:ascii="Arial" w:hAnsi="Arial" w:cs="Arial"/>
          <w:i/>
          <w:lang w:val="fr-FR"/>
        </w:rPr>
        <w:t xml:space="preserve">, </w:t>
      </w:r>
      <w:r>
        <w:rPr>
          <w:rFonts w:ascii="Arial" w:hAnsi="Arial" w:cs="Arial"/>
          <w:lang w:val="fr-FR"/>
        </w:rPr>
        <w:t xml:space="preserve">il est également membre du </w:t>
      </w:r>
      <w:r>
        <w:rPr>
          <w:rFonts w:ascii="Arial" w:hAnsi="Arial" w:cs="Arial"/>
          <w:i/>
          <w:lang w:val="fr-FR"/>
        </w:rPr>
        <w:t>Conseil National des Finances Publiques</w:t>
      </w:r>
      <w:r>
        <w:rPr>
          <w:rFonts w:ascii="Arial" w:hAnsi="Arial" w:cs="Arial"/>
          <w:lang w:val="fr-FR"/>
        </w:rPr>
        <w:t xml:space="preserve"> et membre de la </w:t>
      </w:r>
      <w:r>
        <w:rPr>
          <w:rFonts w:ascii="Arial" w:hAnsi="Arial" w:cs="Arial"/>
          <w:i/>
          <w:lang w:val="fr-FR"/>
        </w:rPr>
        <w:t xml:space="preserve">Société Luxembourgeoise </w:t>
      </w:r>
      <w:r w:rsidRPr="00B321DF">
        <w:rPr>
          <w:rFonts w:ascii="Arial" w:hAnsi="Arial" w:cs="Arial"/>
          <w:i/>
          <w:lang w:val="fr-FR"/>
        </w:rPr>
        <w:t>de l’Evaluation et de la Prospective</w:t>
      </w:r>
      <w:r w:rsidRPr="00B321DF">
        <w:rPr>
          <w:rFonts w:ascii="Arial" w:hAnsi="Arial" w:cs="Arial"/>
          <w:lang w:val="fr-FR"/>
        </w:rPr>
        <w:t>. Il a été l’un des principaux artisans du pilotage du projet d’étude stratégique portant sur la Troisième Révolution Industrielle au Luxembourg.</w:t>
      </w:r>
    </w:p>
    <w:p w14:paraId="78BAA2E0" w14:textId="77777777" w:rsidR="00B321DF" w:rsidRDefault="00B321DF" w:rsidP="00433D37">
      <w:pPr>
        <w:autoSpaceDE w:val="0"/>
        <w:autoSpaceDN w:val="0"/>
        <w:adjustRightInd w:val="0"/>
        <w:spacing w:line="360" w:lineRule="auto"/>
        <w:jc w:val="both"/>
        <w:rPr>
          <w:rFonts w:ascii="Arial" w:hAnsi="Arial" w:cs="Arial"/>
          <w:lang w:val="fr-FR"/>
        </w:rPr>
      </w:pPr>
    </w:p>
    <w:p w14:paraId="2B0776BE" w14:textId="3589950C" w:rsidR="00B321DF" w:rsidRPr="00B321DF" w:rsidRDefault="00B321DF" w:rsidP="00433D37">
      <w:pPr>
        <w:autoSpaceDE w:val="0"/>
        <w:autoSpaceDN w:val="0"/>
        <w:adjustRightInd w:val="0"/>
        <w:spacing w:line="360" w:lineRule="auto"/>
        <w:jc w:val="both"/>
        <w:rPr>
          <w:rFonts w:ascii="Arial" w:hAnsi="Arial" w:cs="Arial"/>
          <w:lang w:val="fr-FR"/>
        </w:rPr>
      </w:pPr>
      <w:r>
        <w:rPr>
          <w:rFonts w:ascii="Arial" w:hAnsi="Arial" w:cs="Arial"/>
          <w:lang w:val="fr-FR"/>
        </w:rPr>
        <w:t>Après un parcours universitaire (</w:t>
      </w:r>
      <w:bookmarkStart w:id="1" w:name="_GoBack"/>
      <w:bookmarkEnd w:id="1"/>
      <w:r>
        <w:rPr>
          <w:rFonts w:ascii="Arial" w:hAnsi="Arial" w:cs="Arial"/>
          <w:lang w:val="fr-FR"/>
        </w:rPr>
        <w:t xml:space="preserve">maître de conférences en économie à l’Université Lille 1), axé sur l’économie régionale, l’économie de l’environnement et le développement durable, </w:t>
      </w:r>
      <w:r w:rsidRPr="00C60DD9">
        <w:rPr>
          <w:rFonts w:ascii="Arial" w:hAnsi="Arial" w:cs="Arial"/>
          <w:b/>
          <w:lang w:val="fr-FR"/>
        </w:rPr>
        <w:t>Bertrand Zuindeau</w:t>
      </w:r>
      <w:r>
        <w:rPr>
          <w:rFonts w:ascii="Arial" w:hAnsi="Arial" w:cs="Arial"/>
          <w:lang w:val="fr-FR"/>
        </w:rPr>
        <w:t xml:space="preserve"> a rejoint le Conseil régional Nord-Pas de Calais en 2011, au sein du Cabinet du Président de Région, en charge de la recherche et de l’enseignement supérieur. En 2015, il est nommé Directeur de projet la mission TRI et travaille, en lien avec les équipes de la CCIR, au pilotage technique de la TRI. Actuellement, il </w:t>
      </w:r>
      <w:r w:rsidR="00C60DD9">
        <w:rPr>
          <w:rFonts w:ascii="Arial" w:hAnsi="Arial" w:cs="Arial"/>
          <w:lang w:val="fr-FR"/>
        </w:rPr>
        <w:t xml:space="preserve">est toujours impliqué dans cette mission et est en passe d’avoir plus particulièrement la responsabilité des axes « évaluation – veille/prospective – liens avec le secteur de la recherche ». </w:t>
      </w:r>
    </w:p>
    <w:p w14:paraId="66AB5D1A" w14:textId="77777777" w:rsidR="00CF2C1F" w:rsidRDefault="00CF2C1F" w:rsidP="001B1B1D">
      <w:pPr>
        <w:widowControl w:val="0"/>
        <w:autoSpaceDE w:val="0"/>
        <w:autoSpaceDN w:val="0"/>
        <w:adjustRightInd w:val="0"/>
        <w:spacing w:after="0" w:line="360" w:lineRule="auto"/>
        <w:jc w:val="both"/>
        <w:rPr>
          <w:rFonts w:ascii="Arial" w:hAnsi="Arial" w:cs="Arial"/>
          <w:b/>
          <w:bCs/>
          <w:lang w:val="fr-FR"/>
        </w:rPr>
      </w:pPr>
    </w:p>
    <w:p w14:paraId="242C1636" w14:textId="3EAA063F" w:rsidR="009F4A85" w:rsidRPr="00021234" w:rsidRDefault="00CF2C1F" w:rsidP="0002123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Arial" w:hAnsi="Arial" w:cs="Arial"/>
          <w:i/>
          <w:lang w:val="fr-FR"/>
        </w:rPr>
      </w:pPr>
      <w:r w:rsidRPr="009E0D8C">
        <w:rPr>
          <w:rFonts w:ascii="Arial" w:hAnsi="Arial" w:cs="Arial"/>
          <w:i/>
          <w:lang w:val="fr-FR"/>
        </w:rPr>
        <w:t xml:space="preserve">La Société Luxembourgeoise de l’Evaluation et de la Prospective (SOLEP a.s.b.l. : </w:t>
      </w:r>
      <w:hyperlink r:id="rId12" w:history="1">
        <w:r w:rsidRPr="009E0D8C">
          <w:rPr>
            <w:rFonts w:ascii="Arial" w:hAnsi="Arial" w:cs="Arial"/>
            <w:i/>
            <w:color w:val="0000FF"/>
            <w:u w:val="single" w:color="0000FF"/>
            <w:lang w:val="fr-FR"/>
          </w:rPr>
          <w:t>www.solep.lu</w:t>
        </w:r>
      </w:hyperlink>
      <w:r w:rsidRPr="009E0D8C">
        <w:rPr>
          <w:rFonts w:ascii="Arial" w:hAnsi="Arial" w:cs="Arial"/>
          <w:i/>
          <w:lang w:val="fr-FR"/>
        </w:rPr>
        <w:t>) est une association sans but lucratif, dont la mission est de contribuer à la qualité des prises de décision publique en recourant notamment aux approches de l’évaluation et de la prospective. Elle a aussi pour vocation de promouvoir l’utilisation de l’évaluation et de la prospective dans les organisations publiques et privées et de faire progresser les techniques et méthodes associées.</w:t>
      </w:r>
    </w:p>
    <w:sectPr w:rsidR="009F4A85" w:rsidRPr="00021234" w:rsidSect="0004706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561BC" w14:textId="77777777" w:rsidR="00E4265B" w:rsidRDefault="00E4265B" w:rsidP="00BF31BF">
      <w:pPr>
        <w:spacing w:after="0" w:line="240" w:lineRule="auto"/>
      </w:pPr>
      <w:r>
        <w:separator/>
      </w:r>
    </w:p>
  </w:endnote>
  <w:endnote w:type="continuationSeparator" w:id="0">
    <w:p w14:paraId="533072B6" w14:textId="77777777" w:rsidR="00E4265B" w:rsidRDefault="00E4265B" w:rsidP="00BF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984F0" w14:textId="77777777" w:rsidR="00E4265B" w:rsidRDefault="00E4265B" w:rsidP="00BF31BF">
      <w:pPr>
        <w:spacing w:after="0" w:line="240" w:lineRule="auto"/>
      </w:pPr>
      <w:r>
        <w:separator/>
      </w:r>
    </w:p>
  </w:footnote>
  <w:footnote w:type="continuationSeparator" w:id="0">
    <w:p w14:paraId="38E7F4D9" w14:textId="77777777" w:rsidR="00E4265B" w:rsidRDefault="00E4265B" w:rsidP="00BF3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EE2403"/>
    <w:multiLevelType w:val="hybridMultilevel"/>
    <w:tmpl w:val="08CCFE70"/>
    <w:lvl w:ilvl="0" w:tplc="040C0001">
      <w:start w:val="1"/>
      <w:numFmt w:val="bullet"/>
      <w:lvlText w:val=""/>
      <w:lvlJc w:val="left"/>
      <w:pPr>
        <w:ind w:left="720" w:hanging="360"/>
      </w:pPr>
      <w:rPr>
        <w:rFonts w:ascii="Symbol" w:hAnsi="Symbol" w:hint="default"/>
      </w:rPr>
    </w:lvl>
    <w:lvl w:ilvl="1" w:tplc="A754E17A">
      <w:numFmt w:val="bullet"/>
      <w:lvlText w:val="•"/>
      <w:lvlJc w:val="left"/>
      <w:pPr>
        <w:ind w:left="1812" w:hanging="732"/>
      </w:pPr>
      <w:rPr>
        <w:rFonts w:ascii="MS Mincho" w:eastAsia="MS Mincho" w:hAnsi="MS Mincho" w:cs="Symbol"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2A5E60"/>
    <w:multiLevelType w:val="hybridMultilevel"/>
    <w:tmpl w:val="49B2A1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EE138B"/>
    <w:multiLevelType w:val="hybridMultilevel"/>
    <w:tmpl w:val="C6ECC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355AC0"/>
    <w:multiLevelType w:val="hybridMultilevel"/>
    <w:tmpl w:val="95F6A9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587A4B"/>
    <w:multiLevelType w:val="hybridMultilevel"/>
    <w:tmpl w:val="B9127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223EC5"/>
    <w:multiLevelType w:val="hybridMultilevel"/>
    <w:tmpl w:val="98A213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0F6623"/>
    <w:multiLevelType w:val="hybridMultilevel"/>
    <w:tmpl w:val="A13CE7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B34BD8"/>
    <w:multiLevelType w:val="hybridMultilevel"/>
    <w:tmpl w:val="B3D80E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3914CF"/>
    <w:multiLevelType w:val="hybridMultilevel"/>
    <w:tmpl w:val="F53CA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9"/>
  </w:num>
  <w:num w:numId="7">
    <w:abstractNumId w:val="7"/>
  </w:num>
  <w:num w:numId="8">
    <w:abstractNumId w:val="6"/>
  </w:num>
  <w:num w:numId="9">
    <w:abstractNumId w:val="10"/>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94"/>
    <w:rsid w:val="0000391D"/>
    <w:rsid w:val="00006F97"/>
    <w:rsid w:val="00021234"/>
    <w:rsid w:val="00042D84"/>
    <w:rsid w:val="00047063"/>
    <w:rsid w:val="00050AA3"/>
    <w:rsid w:val="00066356"/>
    <w:rsid w:val="000D4DA0"/>
    <w:rsid w:val="000F38CA"/>
    <w:rsid w:val="000F42B1"/>
    <w:rsid w:val="0011622E"/>
    <w:rsid w:val="00140AC7"/>
    <w:rsid w:val="00160042"/>
    <w:rsid w:val="00163BB5"/>
    <w:rsid w:val="00181B43"/>
    <w:rsid w:val="001914DB"/>
    <w:rsid w:val="00196B80"/>
    <w:rsid w:val="001A5881"/>
    <w:rsid w:val="001B1B1D"/>
    <w:rsid w:val="001B22D0"/>
    <w:rsid w:val="001C33A7"/>
    <w:rsid w:val="00231238"/>
    <w:rsid w:val="002A2DEE"/>
    <w:rsid w:val="002B7530"/>
    <w:rsid w:val="002D0633"/>
    <w:rsid w:val="002D159B"/>
    <w:rsid w:val="002E1FFF"/>
    <w:rsid w:val="002E2F27"/>
    <w:rsid w:val="002E5825"/>
    <w:rsid w:val="002F4F48"/>
    <w:rsid w:val="002F52BB"/>
    <w:rsid w:val="0031674B"/>
    <w:rsid w:val="00321C4E"/>
    <w:rsid w:val="0033238D"/>
    <w:rsid w:val="00334F00"/>
    <w:rsid w:val="00371739"/>
    <w:rsid w:val="00397D32"/>
    <w:rsid w:val="003D72B6"/>
    <w:rsid w:val="003E6871"/>
    <w:rsid w:val="003E7BAD"/>
    <w:rsid w:val="004213EC"/>
    <w:rsid w:val="00427A3F"/>
    <w:rsid w:val="00433D37"/>
    <w:rsid w:val="004944F3"/>
    <w:rsid w:val="004C7268"/>
    <w:rsid w:val="0050008E"/>
    <w:rsid w:val="00522FC7"/>
    <w:rsid w:val="00541059"/>
    <w:rsid w:val="00560A8A"/>
    <w:rsid w:val="005651AF"/>
    <w:rsid w:val="00582256"/>
    <w:rsid w:val="00586A4C"/>
    <w:rsid w:val="005B3672"/>
    <w:rsid w:val="00617094"/>
    <w:rsid w:val="00620F7A"/>
    <w:rsid w:val="00663AF5"/>
    <w:rsid w:val="00664A97"/>
    <w:rsid w:val="00670931"/>
    <w:rsid w:val="006B252E"/>
    <w:rsid w:val="00715C14"/>
    <w:rsid w:val="007228C4"/>
    <w:rsid w:val="007301F3"/>
    <w:rsid w:val="0075364D"/>
    <w:rsid w:val="007D5A8E"/>
    <w:rsid w:val="0080640A"/>
    <w:rsid w:val="00810106"/>
    <w:rsid w:val="0081443B"/>
    <w:rsid w:val="008211AC"/>
    <w:rsid w:val="00893669"/>
    <w:rsid w:val="008A4105"/>
    <w:rsid w:val="008B5DAC"/>
    <w:rsid w:val="008D1F06"/>
    <w:rsid w:val="008F4659"/>
    <w:rsid w:val="009157E9"/>
    <w:rsid w:val="009160E8"/>
    <w:rsid w:val="00926914"/>
    <w:rsid w:val="00934890"/>
    <w:rsid w:val="00934F90"/>
    <w:rsid w:val="00980074"/>
    <w:rsid w:val="0098375B"/>
    <w:rsid w:val="009B31E3"/>
    <w:rsid w:val="009E0D8C"/>
    <w:rsid w:val="009F4A85"/>
    <w:rsid w:val="00A271FA"/>
    <w:rsid w:val="00A5750A"/>
    <w:rsid w:val="00A70146"/>
    <w:rsid w:val="00A76CAC"/>
    <w:rsid w:val="00AB0C00"/>
    <w:rsid w:val="00AB4FC2"/>
    <w:rsid w:val="00AC78D2"/>
    <w:rsid w:val="00AD1965"/>
    <w:rsid w:val="00B175C7"/>
    <w:rsid w:val="00B321DF"/>
    <w:rsid w:val="00B647C7"/>
    <w:rsid w:val="00B80540"/>
    <w:rsid w:val="00BB2139"/>
    <w:rsid w:val="00BF31BF"/>
    <w:rsid w:val="00C031AC"/>
    <w:rsid w:val="00C066BA"/>
    <w:rsid w:val="00C22496"/>
    <w:rsid w:val="00C60DD9"/>
    <w:rsid w:val="00C64646"/>
    <w:rsid w:val="00C84C42"/>
    <w:rsid w:val="00C850B5"/>
    <w:rsid w:val="00C95B08"/>
    <w:rsid w:val="00CC3BD7"/>
    <w:rsid w:val="00CF2C1F"/>
    <w:rsid w:val="00D12333"/>
    <w:rsid w:val="00D12E29"/>
    <w:rsid w:val="00D256C6"/>
    <w:rsid w:val="00D358D0"/>
    <w:rsid w:val="00D442A3"/>
    <w:rsid w:val="00D50C89"/>
    <w:rsid w:val="00D90E30"/>
    <w:rsid w:val="00D951FB"/>
    <w:rsid w:val="00DA4269"/>
    <w:rsid w:val="00DB44AB"/>
    <w:rsid w:val="00DB44D1"/>
    <w:rsid w:val="00DC0BD2"/>
    <w:rsid w:val="00DE5FA1"/>
    <w:rsid w:val="00DE7AE2"/>
    <w:rsid w:val="00E22071"/>
    <w:rsid w:val="00E34BCD"/>
    <w:rsid w:val="00E4265B"/>
    <w:rsid w:val="00E431AC"/>
    <w:rsid w:val="00E83EA7"/>
    <w:rsid w:val="00E83F63"/>
    <w:rsid w:val="00E854C9"/>
    <w:rsid w:val="00EC436C"/>
    <w:rsid w:val="00EE7601"/>
    <w:rsid w:val="00F375BF"/>
    <w:rsid w:val="00F40DD5"/>
    <w:rsid w:val="00F43A93"/>
    <w:rsid w:val="00F81523"/>
    <w:rsid w:val="00FC5A2A"/>
  </w:rsids>
  <m:mathPr>
    <m:mathFont m:val="Cambria Math"/>
    <m:brkBin m:val="before"/>
    <m:brkBinSub m:val="--"/>
    <m:smallFrac m:val="0"/>
    <m:dispDef/>
    <m:lMargin m:val="0"/>
    <m:rMargin m:val="0"/>
    <m:defJc m:val="centerGroup"/>
    <m:wrapIndent m:val="1440"/>
    <m:intLim m:val="subSup"/>
    <m:naryLim m:val="undOvr"/>
  </m:mathPr>
  <w:themeFontLang w:val="fr-CH"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E08CB"/>
  <w15:docId w15:val="{891B32F0-93D7-4955-B1E8-77CDC1F5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63"/>
  </w:style>
  <w:style w:type="paragraph" w:styleId="Heading3">
    <w:name w:val="heading 3"/>
    <w:basedOn w:val="Normal"/>
    <w:next w:val="Normal"/>
    <w:link w:val="Heading3Char"/>
    <w:uiPriority w:val="9"/>
    <w:unhideWhenUsed/>
    <w:qFormat/>
    <w:rsid w:val="00EC436C"/>
    <w:pPr>
      <w:keepNext/>
      <w:keepLines/>
      <w:spacing w:before="200" w:after="0"/>
      <w:outlineLvl w:val="2"/>
    </w:pPr>
    <w:rPr>
      <w:rFonts w:asciiTheme="majorHAnsi" w:eastAsiaTheme="majorEastAsia" w:hAnsiTheme="majorHAnsi" w:cstheme="majorBidi"/>
      <w:b/>
      <w:bCs/>
      <w:color w:val="4F81BD" w:themeColor="accent1"/>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40AC7"/>
    <w:pPr>
      <w:jc w:val="both"/>
    </w:pPr>
    <w:rPr>
      <w:rFonts w:ascii="Arial" w:eastAsia="Times New Roman" w:hAnsi="Arial" w:cs="Arial"/>
      <w:lang w:val="fr-BE" w:eastAsia="fr-FR"/>
    </w:rPr>
  </w:style>
  <w:style w:type="character" w:customStyle="1" w:styleId="BodyText3Char">
    <w:name w:val="Body Text 3 Char"/>
    <w:basedOn w:val="DefaultParagraphFont"/>
    <w:link w:val="BodyText3"/>
    <w:rsid w:val="00140AC7"/>
    <w:rPr>
      <w:rFonts w:ascii="Arial" w:eastAsia="Times New Roman" w:hAnsi="Arial" w:cs="Arial"/>
      <w:lang w:val="fr-BE" w:eastAsia="fr-FR"/>
    </w:rPr>
  </w:style>
  <w:style w:type="paragraph" w:styleId="ListParagraph">
    <w:name w:val="List Paragraph"/>
    <w:basedOn w:val="Normal"/>
    <w:uiPriority w:val="34"/>
    <w:qFormat/>
    <w:rsid w:val="00140AC7"/>
    <w:pPr>
      <w:ind w:left="720"/>
      <w:contextualSpacing/>
    </w:pPr>
  </w:style>
  <w:style w:type="character" w:customStyle="1" w:styleId="Heading3Char">
    <w:name w:val="Heading 3 Char"/>
    <w:basedOn w:val="DefaultParagraphFont"/>
    <w:link w:val="Heading3"/>
    <w:uiPriority w:val="9"/>
    <w:rsid w:val="00EC436C"/>
    <w:rPr>
      <w:rFonts w:asciiTheme="majorHAnsi" w:eastAsiaTheme="majorEastAsia" w:hAnsiTheme="majorHAnsi" w:cstheme="majorBidi"/>
      <w:b/>
      <w:bCs/>
      <w:color w:val="4F81BD" w:themeColor="accent1"/>
      <w:sz w:val="20"/>
      <w:lang w:val="en-GB" w:eastAsia="en-US"/>
    </w:rPr>
  </w:style>
  <w:style w:type="paragraph" w:styleId="BalloonText">
    <w:name w:val="Balloon Text"/>
    <w:basedOn w:val="Normal"/>
    <w:link w:val="BalloonTextChar"/>
    <w:uiPriority w:val="99"/>
    <w:semiHidden/>
    <w:unhideWhenUsed/>
    <w:rsid w:val="001C3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A7"/>
    <w:rPr>
      <w:rFonts w:ascii="Tahoma" w:hAnsi="Tahoma" w:cs="Tahoma"/>
      <w:sz w:val="16"/>
      <w:szCs w:val="16"/>
    </w:rPr>
  </w:style>
  <w:style w:type="paragraph" w:styleId="FootnoteText">
    <w:name w:val="footnote text"/>
    <w:basedOn w:val="Normal"/>
    <w:link w:val="FootnoteTextChar"/>
    <w:uiPriority w:val="99"/>
    <w:semiHidden/>
    <w:unhideWhenUsed/>
    <w:rsid w:val="00BF3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1BF"/>
    <w:rPr>
      <w:sz w:val="20"/>
      <w:szCs w:val="20"/>
    </w:rPr>
  </w:style>
  <w:style w:type="character" w:styleId="FootnoteReference">
    <w:name w:val="footnote reference"/>
    <w:basedOn w:val="DefaultParagraphFont"/>
    <w:uiPriority w:val="99"/>
    <w:semiHidden/>
    <w:unhideWhenUsed/>
    <w:rsid w:val="00BF31BF"/>
    <w:rPr>
      <w:vertAlign w:val="superscript"/>
    </w:rPr>
  </w:style>
  <w:style w:type="paragraph" w:customStyle="1" w:styleId="Default">
    <w:name w:val="Default"/>
    <w:rsid w:val="0016004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4213EC"/>
    <w:rPr>
      <w:sz w:val="16"/>
      <w:szCs w:val="16"/>
    </w:rPr>
  </w:style>
  <w:style w:type="paragraph" w:styleId="CommentText">
    <w:name w:val="annotation text"/>
    <w:basedOn w:val="Normal"/>
    <w:link w:val="CommentTextChar"/>
    <w:uiPriority w:val="99"/>
    <w:unhideWhenUsed/>
    <w:rsid w:val="004213EC"/>
    <w:pPr>
      <w:spacing w:line="240" w:lineRule="auto"/>
    </w:pPr>
    <w:rPr>
      <w:sz w:val="20"/>
      <w:szCs w:val="20"/>
    </w:rPr>
  </w:style>
  <w:style w:type="character" w:customStyle="1" w:styleId="CommentTextChar">
    <w:name w:val="Comment Text Char"/>
    <w:basedOn w:val="DefaultParagraphFont"/>
    <w:link w:val="CommentText"/>
    <w:uiPriority w:val="99"/>
    <w:rsid w:val="004213EC"/>
    <w:rPr>
      <w:sz w:val="20"/>
      <w:szCs w:val="20"/>
    </w:rPr>
  </w:style>
  <w:style w:type="paragraph" w:styleId="CommentSubject">
    <w:name w:val="annotation subject"/>
    <w:basedOn w:val="CommentText"/>
    <w:next w:val="CommentText"/>
    <w:link w:val="CommentSubjectChar"/>
    <w:uiPriority w:val="99"/>
    <w:semiHidden/>
    <w:unhideWhenUsed/>
    <w:rsid w:val="004213EC"/>
    <w:rPr>
      <w:b/>
      <w:bCs/>
    </w:rPr>
  </w:style>
  <w:style w:type="character" w:customStyle="1" w:styleId="CommentSubjectChar">
    <w:name w:val="Comment Subject Char"/>
    <w:basedOn w:val="CommentTextChar"/>
    <w:link w:val="CommentSubject"/>
    <w:uiPriority w:val="99"/>
    <w:semiHidden/>
    <w:rsid w:val="004213EC"/>
    <w:rPr>
      <w:b/>
      <w:bCs/>
      <w:sz w:val="20"/>
      <w:szCs w:val="20"/>
    </w:rPr>
  </w:style>
  <w:style w:type="character" w:styleId="Hyperlink">
    <w:name w:val="Hyperlink"/>
    <w:basedOn w:val="DefaultParagraphFont"/>
    <w:uiPriority w:val="99"/>
    <w:unhideWhenUsed/>
    <w:rsid w:val="00D25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5207">
      <w:bodyDiv w:val="1"/>
      <w:marLeft w:val="0"/>
      <w:marRight w:val="0"/>
      <w:marTop w:val="0"/>
      <w:marBottom w:val="0"/>
      <w:divBdr>
        <w:top w:val="none" w:sz="0" w:space="0" w:color="auto"/>
        <w:left w:val="none" w:sz="0" w:space="0" w:color="auto"/>
        <w:bottom w:val="none" w:sz="0" w:space="0" w:color="auto"/>
        <w:right w:val="none" w:sz="0" w:space="0" w:color="auto"/>
      </w:divBdr>
    </w:div>
    <w:div w:id="1060593546">
      <w:bodyDiv w:val="1"/>
      <w:marLeft w:val="0"/>
      <w:marRight w:val="0"/>
      <w:marTop w:val="0"/>
      <w:marBottom w:val="0"/>
      <w:divBdr>
        <w:top w:val="none" w:sz="0" w:space="0" w:color="auto"/>
        <w:left w:val="none" w:sz="0" w:space="0" w:color="auto"/>
        <w:bottom w:val="none" w:sz="0" w:space="0" w:color="auto"/>
        <w:right w:val="none" w:sz="0" w:space="0" w:color="auto"/>
      </w:divBdr>
    </w:div>
    <w:div w:id="1255355259">
      <w:bodyDiv w:val="1"/>
      <w:marLeft w:val="0"/>
      <w:marRight w:val="0"/>
      <w:marTop w:val="0"/>
      <w:marBottom w:val="0"/>
      <w:divBdr>
        <w:top w:val="none" w:sz="0" w:space="0" w:color="auto"/>
        <w:left w:val="none" w:sz="0" w:space="0" w:color="auto"/>
        <w:bottom w:val="none" w:sz="0" w:space="0" w:color="auto"/>
        <w:right w:val="none" w:sz="0" w:space="0" w:color="auto"/>
      </w:divBdr>
    </w:div>
    <w:div w:id="1314067028">
      <w:bodyDiv w:val="1"/>
      <w:marLeft w:val="0"/>
      <w:marRight w:val="0"/>
      <w:marTop w:val="0"/>
      <w:marBottom w:val="0"/>
      <w:divBdr>
        <w:top w:val="none" w:sz="0" w:space="0" w:color="auto"/>
        <w:left w:val="none" w:sz="0" w:space="0" w:color="auto"/>
        <w:bottom w:val="none" w:sz="0" w:space="0" w:color="auto"/>
        <w:right w:val="none" w:sz="0" w:space="0" w:color="auto"/>
      </w:divBdr>
    </w:div>
    <w:div w:id="1558084314">
      <w:bodyDiv w:val="1"/>
      <w:marLeft w:val="0"/>
      <w:marRight w:val="0"/>
      <w:marTop w:val="0"/>
      <w:marBottom w:val="0"/>
      <w:divBdr>
        <w:top w:val="none" w:sz="0" w:space="0" w:color="auto"/>
        <w:left w:val="none" w:sz="0" w:space="0" w:color="auto"/>
        <w:bottom w:val="none" w:sz="0" w:space="0" w:color="auto"/>
        <w:right w:val="none" w:sz="0" w:space="0" w:color="auto"/>
      </w:divBdr>
    </w:div>
    <w:div w:id="1692534134">
      <w:bodyDiv w:val="1"/>
      <w:marLeft w:val="0"/>
      <w:marRight w:val="0"/>
      <w:marTop w:val="0"/>
      <w:marBottom w:val="0"/>
      <w:divBdr>
        <w:top w:val="none" w:sz="0" w:space="0" w:color="auto"/>
        <w:left w:val="none" w:sz="0" w:space="0" w:color="auto"/>
        <w:bottom w:val="none" w:sz="0" w:space="0" w:color="auto"/>
        <w:right w:val="none" w:sz="0" w:space="0" w:color="auto"/>
      </w:divBdr>
      <w:divsChild>
        <w:div w:id="707531840">
          <w:marLeft w:val="0"/>
          <w:marRight w:val="0"/>
          <w:marTop w:val="450"/>
          <w:marBottom w:val="450"/>
          <w:divBdr>
            <w:top w:val="none" w:sz="0" w:space="0" w:color="auto"/>
            <w:left w:val="none" w:sz="0" w:space="0" w:color="auto"/>
            <w:bottom w:val="none" w:sz="0" w:space="0" w:color="auto"/>
            <w:right w:val="none" w:sz="0" w:space="0" w:color="auto"/>
          </w:divBdr>
          <w:divsChild>
            <w:div w:id="665746482">
              <w:marLeft w:val="0"/>
              <w:marRight w:val="300"/>
              <w:marTop w:val="0"/>
              <w:marBottom w:val="0"/>
              <w:divBdr>
                <w:top w:val="none" w:sz="0" w:space="0" w:color="auto"/>
                <w:left w:val="none" w:sz="0" w:space="0" w:color="auto"/>
                <w:bottom w:val="none" w:sz="0" w:space="0" w:color="auto"/>
                <w:right w:val="none" w:sz="0" w:space="0" w:color="auto"/>
              </w:divBdr>
              <w:divsChild>
                <w:div w:id="4125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ep.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isiemerevolutionindustrielle.lu/comprendre/3-minutes-pour-comprendre/" TargetMode="External"/><Relationship Id="rId5" Type="http://schemas.openxmlformats.org/officeDocument/2006/relationships/webSettings" Target="webSettings.xml"/><Relationship Id="rId10" Type="http://schemas.openxmlformats.org/officeDocument/2006/relationships/hyperlink" Target="http://www.troisiemerevolutionindustrielle.lu/comprendre/letude-strategique/" TargetMode="External"/><Relationship Id="rId4" Type="http://schemas.openxmlformats.org/officeDocument/2006/relationships/settings" Target="settings.xml"/><Relationship Id="rId9" Type="http://schemas.openxmlformats.org/officeDocument/2006/relationships/hyperlink" Target="mailto:info@solep.l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F829B-08D9-4D19-B453-3750BE57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Marguy KOHNEN</dc:creator>
  <cp:lastModifiedBy>Borsi, Francois-Xavier</cp:lastModifiedBy>
  <cp:revision>5</cp:revision>
  <cp:lastPrinted>2014-01-13T08:52:00Z</cp:lastPrinted>
  <dcterms:created xsi:type="dcterms:W3CDTF">2017-01-18T11:26:00Z</dcterms:created>
  <dcterms:modified xsi:type="dcterms:W3CDTF">2017-01-18T17:34:00Z</dcterms:modified>
</cp:coreProperties>
</file>